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53" w:rsidRPr="00661C65" w:rsidRDefault="00825C53" w:rsidP="001C4703">
      <w:pPr>
        <w:tabs>
          <w:tab w:val="left" w:pos="1800"/>
        </w:tabs>
        <w:rPr>
          <w:sz w:val="22"/>
          <w:szCs w:val="22"/>
        </w:rPr>
      </w:pPr>
      <w:r w:rsidRPr="00661C65">
        <w:rPr>
          <w:b/>
          <w:sz w:val="22"/>
          <w:szCs w:val="22"/>
        </w:rPr>
        <w:t>Source: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42320C" w:rsidRPr="00661C65">
        <w:rPr>
          <w:sz w:val="22"/>
          <w:szCs w:val="22"/>
        </w:rPr>
        <w:t>Qualcomm</w:t>
      </w:r>
      <w:r w:rsidR="00A052AB">
        <w:rPr>
          <w:sz w:val="22"/>
          <w:szCs w:val="22"/>
        </w:rPr>
        <w:t xml:space="preserve"> Incorporated</w:t>
      </w:r>
    </w:p>
    <w:p w:rsidR="00825C53" w:rsidRDefault="00825C53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 w:rsidRPr="00661C65">
        <w:rPr>
          <w:b/>
          <w:sz w:val="22"/>
          <w:szCs w:val="22"/>
        </w:rPr>
        <w:t xml:space="preserve">Title:   </w:t>
      </w:r>
      <w:r w:rsidRPr="00661C65">
        <w:rPr>
          <w:sz w:val="22"/>
          <w:szCs w:val="22"/>
        </w:rPr>
        <w:t xml:space="preserve"> </w:t>
      </w:r>
      <w:r w:rsidRPr="00661C65">
        <w:rPr>
          <w:sz w:val="22"/>
          <w:szCs w:val="22"/>
        </w:rPr>
        <w:tab/>
      </w:r>
      <w:r w:rsidR="00921017">
        <w:rPr>
          <w:sz w:val="22"/>
          <w:szCs w:val="22"/>
        </w:rPr>
        <w:t>Narrow B</w:t>
      </w:r>
      <w:r w:rsidR="00114E8A" w:rsidRPr="000958C8">
        <w:rPr>
          <w:sz w:val="22"/>
          <w:szCs w:val="22"/>
        </w:rPr>
        <w:t xml:space="preserve">and </w:t>
      </w:r>
      <w:r w:rsidR="00114E8A" w:rsidRPr="000958C8">
        <w:rPr>
          <w:rStyle w:val="StyleLatinBodyCalibri11pt"/>
          <w:rFonts w:ascii="Times New Roman" w:hAnsi="Times New Roman" w:cs="Times New Roman"/>
        </w:rPr>
        <w:t>OFDMA</w:t>
      </w:r>
      <w:r w:rsidR="0084696D">
        <w:rPr>
          <w:rStyle w:val="StyleLatinBodyCalibri11pt"/>
          <w:rFonts w:ascii="Times New Roman" w:hAnsi="Times New Roman" w:cs="Times New Roman"/>
        </w:rPr>
        <w:t xml:space="preserve">- </w:t>
      </w:r>
      <w:r w:rsidR="00B416FC">
        <w:rPr>
          <w:rStyle w:val="StyleLatinBodyCalibri11pt"/>
          <w:rFonts w:ascii="Times New Roman" w:hAnsi="Times New Roman" w:cs="Times New Roman"/>
        </w:rPr>
        <w:t xml:space="preserve">Support of </w:t>
      </w:r>
      <w:r w:rsidR="008A3B18">
        <w:rPr>
          <w:rStyle w:val="StyleLatinBodyCalibri11pt"/>
          <w:rFonts w:ascii="Times New Roman" w:hAnsi="Times New Roman" w:cs="Times New Roman"/>
        </w:rPr>
        <w:t>Large</w:t>
      </w:r>
      <w:r w:rsidR="008D5D7C">
        <w:rPr>
          <w:rStyle w:val="StyleLatinBodyCalibri11pt"/>
          <w:rFonts w:ascii="Times New Roman" w:hAnsi="Times New Roman" w:cs="Times New Roman"/>
        </w:rPr>
        <w:t xml:space="preserve"> Cells</w:t>
      </w:r>
    </w:p>
    <w:p w:rsidR="0098008C" w:rsidRPr="0098008C" w:rsidRDefault="0098008C" w:rsidP="001C4703">
      <w:pPr>
        <w:tabs>
          <w:tab w:val="left" w:pos="1800"/>
        </w:tabs>
        <w:ind w:left="658" w:hangingChars="298" w:hanging="658"/>
        <w:rPr>
          <w:sz w:val="22"/>
          <w:szCs w:val="22"/>
        </w:rPr>
      </w:pPr>
      <w:r>
        <w:rPr>
          <w:b/>
          <w:sz w:val="22"/>
          <w:szCs w:val="22"/>
        </w:rPr>
        <w:t>Agenda:</w:t>
      </w:r>
      <w:r>
        <w:rPr>
          <w:sz w:val="22"/>
          <w:szCs w:val="22"/>
        </w:rPr>
        <w:tab/>
      </w:r>
      <w:r w:rsidR="007D4394">
        <w:rPr>
          <w:szCs w:val="22"/>
        </w:rPr>
        <w:t>1.4.3, 2.4.4</w:t>
      </w:r>
    </w:p>
    <w:p w:rsidR="009A2998" w:rsidRPr="0044681B" w:rsidRDefault="00825C53" w:rsidP="0044681B">
      <w:pPr>
        <w:tabs>
          <w:tab w:val="left" w:pos="1800"/>
        </w:tabs>
        <w:rPr>
          <w:sz w:val="22"/>
          <w:szCs w:val="22"/>
        </w:rPr>
      </w:pPr>
      <w:r w:rsidRPr="00661C65">
        <w:t>Document for:</w:t>
      </w:r>
      <w:r w:rsidRPr="00661C65">
        <w:tab/>
      </w:r>
      <w:bookmarkStart w:id="0" w:name="DocumentFor"/>
      <w:bookmarkEnd w:id="0"/>
      <w:r w:rsidR="00090151">
        <w:t>Discussion</w:t>
      </w:r>
    </w:p>
    <w:p w:rsidR="0044681B" w:rsidRDefault="0005379D" w:rsidP="0005379D">
      <w:pPr>
        <w:pStyle w:val="Heading1"/>
      </w:pPr>
      <w:r>
        <w:t>Introduction</w:t>
      </w:r>
    </w:p>
    <w:p w:rsidR="00ED5BD8" w:rsidRPr="008E0669" w:rsidRDefault="00ED5BD8" w:rsidP="00ED5BD8">
      <w:pPr>
        <w:pStyle w:val="BodyText"/>
        <w:rPr>
          <w:color w:val="000000"/>
          <w:szCs w:val="21"/>
        </w:rPr>
      </w:pPr>
      <w:bookmarkStart w:id="1" w:name="_Ref400985609"/>
      <w:r w:rsidRPr="008E0669">
        <w:rPr>
          <w:color w:val="000000"/>
          <w:szCs w:val="21"/>
        </w:rPr>
        <w:t xml:space="preserve">At GERAN #64 a narrowband OFDMA </w:t>
      </w:r>
      <w:r w:rsidR="008A5A69">
        <w:rPr>
          <w:color w:val="000000"/>
          <w:szCs w:val="21"/>
        </w:rPr>
        <w:t>solution</w:t>
      </w:r>
      <w:r w:rsidRPr="008E0669">
        <w:rPr>
          <w:color w:val="000000"/>
          <w:szCs w:val="21"/>
        </w:rPr>
        <w:t xml:space="preserve"> for GERAN Cellular IoT was proposed and </w:t>
      </w:r>
      <w:r w:rsidR="00B416FC">
        <w:rPr>
          <w:color w:val="000000"/>
          <w:szCs w:val="21"/>
        </w:rPr>
        <w:t xml:space="preserve">physical-layer </w:t>
      </w:r>
      <w:r w:rsidR="008A5A69">
        <w:rPr>
          <w:color w:val="000000"/>
          <w:szCs w:val="21"/>
        </w:rPr>
        <w:t>design</w:t>
      </w:r>
      <w:r w:rsidR="00B416FC">
        <w:rPr>
          <w:color w:val="000000"/>
          <w:szCs w:val="21"/>
        </w:rPr>
        <w:t xml:space="preserve"> i</w:t>
      </w:r>
      <w:r w:rsidR="00F13DC5">
        <w:rPr>
          <w:color w:val="000000"/>
          <w:szCs w:val="21"/>
        </w:rPr>
        <w:t>s</w:t>
      </w:r>
      <w:r w:rsidR="007D4394">
        <w:rPr>
          <w:color w:val="000000"/>
          <w:szCs w:val="21"/>
        </w:rPr>
        <w:t xml:space="preserve"> provided for cell range up to 9</w:t>
      </w:r>
      <w:r w:rsidR="00B416FC">
        <w:rPr>
          <w:color w:val="000000"/>
          <w:szCs w:val="21"/>
        </w:rPr>
        <w:t xml:space="preserve"> km</w:t>
      </w:r>
      <w:r w:rsidRPr="008E0669">
        <w:rPr>
          <w:color w:val="000000"/>
          <w:szCs w:val="21"/>
        </w:rPr>
        <w:t xml:space="preserve"> </w:t>
      </w:r>
      <w:r w:rsidRPr="008E0669">
        <w:rPr>
          <w:color w:val="000000"/>
          <w:szCs w:val="21"/>
        </w:rPr>
        <w:fldChar w:fldCharType="begin"/>
      </w:r>
      <w:r w:rsidRPr="008E0669">
        <w:rPr>
          <w:color w:val="000000"/>
          <w:szCs w:val="21"/>
        </w:rPr>
        <w:instrText xml:space="preserve"> REF _Ref403490500 \r \h </w:instrText>
      </w:r>
      <w:r w:rsidR="008E0669" w:rsidRPr="008E0669">
        <w:rPr>
          <w:color w:val="000000"/>
          <w:szCs w:val="21"/>
        </w:rPr>
        <w:instrText xml:space="preserve"> \* MERGEFORMAT </w:instrText>
      </w:r>
      <w:r w:rsidRPr="008E0669">
        <w:rPr>
          <w:color w:val="000000"/>
          <w:szCs w:val="21"/>
        </w:rPr>
      </w:r>
      <w:r w:rsidRPr="008E0669">
        <w:rPr>
          <w:color w:val="000000"/>
          <w:szCs w:val="21"/>
        </w:rPr>
        <w:fldChar w:fldCharType="separate"/>
      </w:r>
      <w:r w:rsidR="00B416FC">
        <w:rPr>
          <w:color w:val="000000"/>
          <w:szCs w:val="21"/>
        </w:rPr>
        <w:t>[1</w:t>
      </w:r>
      <w:r w:rsidRPr="008E0669">
        <w:rPr>
          <w:color w:val="000000"/>
          <w:szCs w:val="21"/>
        </w:rPr>
        <w:t>]</w:t>
      </w:r>
      <w:r w:rsidRPr="008E0669">
        <w:rPr>
          <w:color w:val="000000"/>
          <w:szCs w:val="21"/>
        </w:rPr>
        <w:fldChar w:fldCharType="end"/>
      </w:r>
      <w:r w:rsidR="00B416FC">
        <w:rPr>
          <w:color w:val="000000"/>
          <w:szCs w:val="21"/>
        </w:rPr>
        <w:t xml:space="preserve">. This paper describes the </w:t>
      </w:r>
      <w:r w:rsidR="00F13DC5">
        <w:rPr>
          <w:color w:val="000000"/>
          <w:szCs w:val="21"/>
        </w:rPr>
        <w:t xml:space="preserve">design of </w:t>
      </w:r>
      <w:r w:rsidR="00B416FC">
        <w:rPr>
          <w:color w:val="000000"/>
          <w:szCs w:val="21"/>
        </w:rPr>
        <w:t xml:space="preserve">cyclic prefix </w:t>
      </w:r>
      <w:r w:rsidR="00F13DC5">
        <w:rPr>
          <w:color w:val="000000"/>
          <w:szCs w:val="21"/>
        </w:rPr>
        <w:t>and PRACH for larger cells</w:t>
      </w:r>
      <w:r w:rsidRPr="008E0669">
        <w:rPr>
          <w:color w:val="000000"/>
          <w:szCs w:val="21"/>
        </w:rPr>
        <w:t>.</w:t>
      </w:r>
    </w:p>
    <w:bookmarkEnd w:id="1"/>
    <w:p w:rsidR="00114E8A" w:rsidRPr="002011DC" w:rsidRDefault="00165687" w:rsidP="00CA015A">
      <w:pPr>
        <w:pStyle w:val="Heading1"/>
      </w:pPr>
      <w:r>
        <w:t>Discussions</w:t>
      </w:r>
    </w:p>
    <w:p w:rsidR="000810AE" w:rsidRDefault="00B416FC" w:rsidP="00E1576E">
      <w:pPr>
        <w:spacing w:after="120"/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In [1], the cyclic prefix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(CP)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length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>s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of normal slots and extended slots are chosen 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for typical cell </w:t>
      </w:r>
      <w:r w:rsidR="000810AE">
        <w:rPr>
          <w:rStyle w:val="StyleLatinBodyCalibri11pt"/>
          <w:rFonts w:ascii="Times New Roman" w:hAnsi="Times New Roman" w:cs="Times New Roman"/>
          <w:sz w:val="21"/>
          <w:szCs w:val="21"/>
        </w:rPr>
        <w:t>radii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of</w:t>
      </w:r>
      <w:r w:rsidR="005E2D5B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no more than 9</w:t>
      </w:r>
      <w:r w:rsidR="00CE0DD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km</w:t>
      </w:r>
      <w:r w:rsidR="005E2D5B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For larger cell </w:t>
      </w:r>
      <w:r w:rsidR="000810AE">
        <w:rPr>
          <w:rStyle w:val="StyleLatinBodyCalibri11pt"/>
          <w:rFonts w:ascii="Times New Roman" w:hAnsi="Times New Roman" w:cs="Times New Roman"/>
          <w:sz w:val="21"/>
          <w:szCs w:val="21"/>
        </w:rPr>
        <w:t>radii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, the lengths of 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both 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normal CP and extended CP 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>must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be increased to support larger channel delay spread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>s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and round-trip delay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>s</w:t>
      </w:r>
      <w:r w:rsidR="00AA33BF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, respectively. 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In addition, larger round-trip delays </w:t>
      </w:r>
      <w:r w:rsidR="008A5A69">
        <w:rPr>
          <w:rStyle w:val="StyleLatinBodyCalibri11pt"/>
          <w:rFonts w:ascii="Times New Roman" w:hAnsi="Times New Roman" w:cs="Times New Roman"/>
          <w:sz w:val="21"/>
          <w:szCs w:val="21"/>
        </w:rPr>
        <w:t>preclude</w:t>
      </w:r>
      <w:r w:rsidR="00F13DC5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the use of large micro-hopping gap [2], which can lead to lower timing estimation accuracy 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>[2]</w:t>
      </w:r>
      <w:r w:rsidR="00F13DC5">
        <w:rPr>
          <w:rStyle w:val="StyleLatinBodyCalibri11pt"/>
          <w:rFonts w:ascii="Times New Roman" w:hAnsi="Times New Roman" w:cs="Times New Roman"/>
          <w:sz w:val="21"/>
          <w:szCs w:val="21"/>
        </w:rPr>
        <w:t>.</w:t>
      </w:r>
      <w:r w:rsidR="00CE0DD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F13DC5">
        <w:rPr>
          <w:rStyle w:val="StyleLatinBodyCalibri11pt"/>
          <w:rFonts w:ascii="Times New Roman" w:hAnsi="Times New Roman" w:cs="Times New Roman"/>
          <w:sz w:val="21"/>
          <w:szCs w:val="21"/>
        </w:rPr>
        <w:t>Consequently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, PRACH </w:t>
      </w:r>
      <w:r w:rsidR="00CE0DD1">
        <w:rPr>
          <w:rStyle w:val="StyleLatinBodyCalibri11pt"/>
          <w:rFonts w:ascii="Times New Roman" w:hAnsi="Times New Roman" w:cs="Times New Roman"/>
          <w:sz w:val="21"/>
          <w:szCs w:val="21"/>
        </w:rPr>
        <w:t>resource segmentation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and </w:t>
      </w:r>
      <w:r w:rsidR="00CE0DD1">
        <w:rPr>
          <w:rStyle w:val="StyleLatinBodyCalibri11pt"/>
          <w:rFonts w:ascii="Times New Roman" w:hAnsi="Times New Roman" w:cs="Times New Roman"/>
          <w:sz w:val="21"/>
          <w:szCs w:val="21"/>
        </w:rPr>
        <w:t>associated pilot pattern need to be revisited</w:t>
      </w:r>
      <w:r w:rsidR="00281C11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</w:t>
      </w:r>
    </w:p>
    <w:p w:rsidR="00502B9D" w:rsidRDefault="000810AE" w:rsidP="00E1576E">
      <w:pPr>
        <w:spacing w:after="120"/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It is proposed to have 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two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frame structure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>s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: 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>the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normal 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>one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as described in [1] and [2] for cells with radii up</w:t>
      </w:r>
      <w:r w:rsidR="007D439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to 9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km, another frame structure with longer CP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and associated PRACH segmentation for 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large </w:t>
      </w:r>
      <w:r w:rsidR="005E2D5B">
        <w:rPr>
          <w:rStyle w:val="StyleLatinBodyCalibri11pt"/>
          <w:rFonts w:ascii="Times New Roman" w:hAnsi="Times New Roman" w:cs="Times New Roman"/>
          <w:sz w:val="21"/>
          <w:szCs w:val="21"/>
        </w:rPr>
        <w:t>cells with radii greater than 9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km but smaller than 35 km.</w:t>
      </w:r>
    </w:p>
    <w:p w:rsidR="000C487B" w:rsidRPr="00502B9D" w:rsidRDefault="00CE0DD1" w:rsidP="00E1576E">
      <w:pPr>
        <w:spacing w:after="120"/>
        <w:rPr>
          <w:kern w:val="0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Below, the proposed 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>CP and associated PRACH design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for 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>large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cell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>s with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502B9D">
        <w:rPr>
          <w:rStyle w:val="StyleLatinBodyCalibri11pt"/>
          <w:rFonts w:ascii="Times New Roman" w:hAnsi="Times New Roman" w:cs="Times New Roman"/>
          <w:sz w:val="21"/>
          <w:szCs w:val="21"/>
        </w:rPr>
        <w:t>radii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5E2D5B">
        <w:rPr>
          <w:rStyle w:val="StyleLatinBodyCalibri11pt"/>
          <w:rFonts w:ascii="Times New Roman" w:hAnsi="Times New Roman" w:cs="Times New Roman"/>
          <w:sz w:val="21"/>
          <w:szCs w:val="21"/>
        </w:rPr>
        <w:t>from 9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to 35 km </w:t>
      </w:r>
      <w:r w:rsidR="008A5A69">
        <w:rPr>
          <w:rStyle w:val="StyleLatinBodyCalibri11pt"/>
          <w:rFonts w:ascii="Times New Roman" w:hAnsi="Times New Roman" w:cs="Times New Roman"/>
          <w:sz w:val="21"/>
          <w:szCs w:val="21"/>
        </w:rPr>
        <w:t>is</w:t>
      </w:r>
      <w:r w:rsidR="006C4E6D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described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.</w:t>
      </w:r>
    </w:p>
    <w:p w:rsidR="00405675" w:rsidRPr="00576BCF" w:rsidRDefault="000528C4" w:rsidP="00576BCF">
      <w:pPr>
        <w:pStyle w:val="Heading1"/>
      </w:pPr>
      <w:r>
        <w:t>Cyclic Prefix</w:t>
      </w:r>
    </w:p>
    <w:p w:rsidR="00405675" w:rsidRDefault="00502B9D" w:rsidP="00405675">
      <w:pPr>
        <w:pStyle w:val="Heading2"/>
        <w:rPr>
          <w:lang w:val="en-GB" w:eastAsia="en-US"/>
        </w:rPr>
      </w:pPr>
      <w:r>
        <w:rPr>
          <w:lang w:val="en-GB" w:eastAsia="en-US"/>
        </w:rPr>
        <w:t>Normal CP</w:t>
      </w:r>
    </w:p>
    <w:p w:rsidR="005A40AE" w:rsidRDefault="00502B9D" w:rsidP="00405675">
      <w:pPr>
        <w:rPr>
          <w:lang w:val="en-GB" w:eastAsia="en-US"/>
        </w:rPr>
      </w:pPr>
      <w:r>
        <w:rPr>
          <w:lang w:val="en-GB" w:eastAsia="en-US"/>
        </w:rPr>
        <w:t xml:space="preserve">To avoid inter-carrier interference, the CP of normal slots need to be longer than channel delay spread. </w:t>
      </w:r>
      <w:r w:rsidR="005A40AE">
        <w:rPr>
          <w:lang w:val="en-GB" w:eastAsia="en-US"/>
        </w:rPr>
        <w:t xml:space="preserve">It is expected that the delay spread increases as cell radius increases. In [3], it is shown that the </w:t>
      </w:r>
      <w:r w:rsidR="007D4394">
        <w:rPr>
          <w:lang w:val="en-GB" w:eastAsia="en-US"/>
        </w:rPr>
        <w:t>RMS</w:t>
      </w:r>
      <w:r w:rsidR="006A381C">
        <w:rPr>
          <w:lang w:val="en-GB" w:eastAsia="en-US"/>
        </w:rPr>
        <w:t xml:space="preserve"> </w:t>
      </w:r>
      <w:r w:rsidR="005A40AE">
        <w:rPr>
          <w:lang w:val="en-GB" w:eastAsia="en-US"/>
        </w:rPr>
        <w:t xml:space="preserve">delay spread can be modelled as </w:t>
      </w:r>
    </w:p>
    <w:p w:rsidR="00E05952" w:rsidRDefault="00A13753" w:rsidP="00E05952">
      <w:pPr>
        <w:rPr>
          <w:lang w:val="en-GB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hAnsi="Cambria Math"/>
                  <w:lang w:val="en-GB" w:eastAsia="en-US"/>
                </w:rPr>
                <m:t>τ</m:t>
              </m:r>
            </m:e>
            <m:sub>
              <m:r>
                <w:rPr>
                  <w:rFonts w:ascii="Cambria Math" w:hAnsi="Cambria Math"/>
                  <w:lang w:val="en-GB" w:eastAsia="en-US"/>
                </w:rPr>
                <m:t>rms</m:t>
              </m:r>
            </m:sub>
          </m:sSub>
          <m:r>
            <w:rPr>
              <w:rFonts w:ascii="Cambria Math" w:hAnsi="Cambria Math"/>
              <w:lang w:val="en-GB" w:eastAsia="en-US"/>
            </w:rPr>
            <m:t>=T</m:t>
          </m:r>
          <m:sSup>
            <m:sSupPr>
              <m:ctrlPr>
                <w:rPr>
                  <w:rFonts w:ascii="Cambria Math" w:hAnsi="Cambria Math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hAnsi="Cambria Math"/>
                  <w:lang w:val="en-GB" w:eastAsia="en-US"/>
                </w:rPr>
                <m:t>d</m:t>
              </m:r>
            </m:e>
            <m:sup>
              <m:r>
                <w:rPr>
                  <w:rFonts w:ascii="Cambria Math" w:hAnsi="Cambria Math"/>
                  <w:lang w:val="en-GB" w:eastAsia="en-US"/>
                </w:rPr>
                <m:t>ε</m:t>
              </m:r>
            </m:sup>
          </m:sSup>
          <m:r>
            <w:rPr>
              <w:rFonts w:ascii="Cambria Math" w:hAnsi="Cambria Math"/>
              <w:lang w:val="en-GB" w:eastAsia="en-US"/>
            </w:rPr>
            <m:t>y</m:t>
          </m:r>
        </m:oMath>
      </m:oMathPara>
    </w:p>
    <w:p w:rsidR="0077575A" w:rsidRDefault="00E05952" w:rsidP="00405675">
      <w:pPr>
        <w:rPr>
          <w:lang w:val="en-GB" w:eastAsia="en-US"/>
        </w:rPr>
      </w:pPr>
      <w:r>
        <w:rPr>
          <w:lang w:val="en-GB" w:eastAsia="en-US"/>
        </w:rPr>
        <w:t xml:space="preserve">where </w:t>
      </w:r>
      <w:r w:rsidRPr="00B23F22">
        <w:rPr>
          <w:i/>
          <w:lang w:val="en-GB" w:eastAsia="en-US"/>
        </w:rPr>
        <w:t>T</w:t>
      </w:r>
      <w:r>
        <w:rPr>
          <w:lang w:val="en-GB" w:eastAsia="en-US"/>
        </w:rPr>
        <w:t xml:space="preserve"> is the </w:t>
      </w:r>
      <w:r w:rsidR="00B23F22">
        <w:rPr>
          <w:lang w:val="en-GB" w:eastAsia="en-US"/>
        </w:rPr>
        <w:t xml:space="preserve">medium value of delay spread when </w:t>
      </w:r>
      <w:r w:rsidR="00B23F22" w:rsidRPr="00B23F22">
        <w:rPr>
          <w:i/>
          <w:lang w:val="en-GB" w:eastAsia="en-US"/>
        </w:rPr>
        <w:t>d</w:t>
      </w:r>
      <w:r w:rsidR="00B23F22">
        <w:rPr>
          <w:lang w:val="en-GB" w:eastAsia="en-US"/>
        </w:rPr>
        <w:t>=</w:t>
      </w:r>
      <w:r>
        <w:rPr>
          <w:lang w:val="en-GB" w:eastAsia="en-US"/>
        </w:rPr>
        <w:t xml:space="preserve">1 km and </w:t>
      </w:r>
      <w:r w:rsidRPr="00B23F22">
        <w:rPr>
          <w:i/>
          <w:lang w:val="en-GB" w:eastAsia="en-US"/>
        </w:rPr>
        <w:t>y</w:t>
      </w:r>
      <w:r>
        <w:rPr>
          <w:lang w:val="en-GB" w:eastAsia="en-US"/>
        </w:rPr>
        <w:t xml:space="preserve"> is a lognormal </w:t>
      </w:r>
      <w:r w:rsidR="00E1576E">
        <w:rPr>
          <w:lang w:val="en-GB" w:eastAsia="en-US"/>
        </w:rPr>
        <w:t>variant</w:t>
      </w:r>
      <w:r>
        <w:rPr>
          <w:lang w:val="en-GB" w:eastAsia="en-US"/>
        </w:rPr>
        <w:t xml:space="preserve">. </w:t>
      </w:r>
      <w:r w:rsidR="00B23F22">
        <w:rPr>
          <w:lang w:val="en-GB" w:eastAsia="en-US"/>
        </w:rPr>
        <w:t>The standard deviation of 10log(</w:t>
      </w:r>
      <w:r w:rsidR="00B23F22" w:rsidRPr="00810539">
        <w:rPr>
          <w:i/>
          <w:lang w:val="en-GB" w:eastAsia="en-US"/>
        </w:rPr>
        <w:t>y</w:t>
      </w:r>
      <w:r w:rsidR="00B23F22">
        <w:rPr>
          <w:lang w:val="en-GB" w:eastAsia="en-US"/>
        </w:rPr>
        <w:t xml:space="preserve">), a Gaussian random variable, is about 2 to </w:t>
      </w:r>
      <w:r w:rsidR="00E74E2E">
        <w:rPr>
          <w:lang w:val="en-GB" w:eastAsia="en-US"/>
        </w:rPr>
        <w:t>4.7</w:t>
      </w:r>
      <w:r w:rsidR="00B23F22">
        <w:rPr>
          <w:lang w:val="en-GB" w:eastAsia="en-US"/>
        </w:rPr>
        <w:t xml:space="preserve"> dB </w:t>
      </w:r>
      <w:r w:rsidR="00E74E2E">
        <w:rPr>
          <w:lang w:val="en-GB" w:eastAsia="en-US"/>
        </w:rPr>
        <w:t xml:space="preserve">in suburban areas and 4 to 5.3 dB for rural areas, </w:t>
      </w:r>
      <w:r w:rsidR="00B23F22">
        <w:rPr>
          <w:lang w:val="en-GB" w:eastAsia="en-US"/>
        </w:rPr>
        <w:t xml:space="preserve">and </w:t>
      </w:r>
      <w:r w:rsidR="00B23F22" w:rsidRPr="00B23F22">
        <w:rPr>
          <w:i/>
          <w:lang w:val="en-GB" w:eastAsia="en-US"/>
        </w:rPr>
        <w:t>T</w:t>
      </w:r>
      <w:r w:rsidR="00B23F22">
        <w:rPr>
          <w:lang w:val="en-GB" w:eastAsia="en-US"/>
        </w:rPr>
        <w:t xml:space="preserve"> is about 0.07</w:t>
      </w:r>
      <w:r w:rsidR="00E74E2E">
        <w:rPr>
          <w:lang w:val="en-GB" w:eastAsia="en-US"/>
        </w:rPr>
        <w:t>5</w:t>
      </w:r>
      <w:r w:rsidR="00B23F22">
        <w:rPr>
          <w:lang w:val="en-GB" w:eastAsia="en-US"/>
        </w:rPr>
        <w:t xml:space="preserve"> </w:t>
      </w:r>
      <w:r w:rsidR="00767305">
        <w:rPr>
          <w:rFonts w:ascii="Symbol" w:hAnsi="Symbol"/>
          <w:lang w:val="en-GB" w:eastAsia="en-US"/>
        </w:rPr>
        <w:t></w:t>
      </w:r>
      <w:r w:rsidR="00B23F22">
        <w:rPr>
          <w:lang w:val="en-GB" w:eastAsia="en-US"/>
        </w:rPr>
        <w:t xml:space="preserve">s in rural areas and 0.28 </w:t>
      </w:r>
      <w:r w:rsidR="00767305">
        <w:rPr>
          <w:rFonts w:ascii="Symbol" w:hAnsi="Symbol"/>
          <w:lang w:val="en-GB" w:eastAsia="en-US"/>
        </w:rPr>
        <w:t></w:t>
      </w:r>
      <w:r w:rsidR="00B23F22">
        <w:rPr>
          <w:lang w:val="en-GB" w:eastAsia="en-US"/>
        </w:rPr>
        <w:t xml:space="preserve">s in suburban areas. </w:t>
      </w:r>
      <w:r w:rsidR="00810539">
        <w:rPr>
          <w:lang w:val="en-GB" w:eastAsia="en-US"/>
        </w:rPr>
        <w:t xml:space="preserve">The exponent </w:t>
      </w:r>
      <w:r w:rsidR="00810539" w:rsidRPr="00810539">
        <w:rPr>
          <w:rFonts w:ascii="Symbol" w:hAnsi="Symbol"/>
          <w:i/>
          <w:lang w:val="en-GB" w:eastAsia="en-US"/>
        </w:rPr>
        <w:t></w:t>
      </w:r>
      <w:r w:rsidR="00810539">
        <w:rPr>
          <w:lang w:val="en-GB" w:eastAsia="en-US"/>
        </w:rPr>
        <w:t xml:space="preserve"> is </w:t>
      </w:r>
      <w:r w:rsidR="0077575A">
        <w:rPr>
          <w:lang w:val="en-GB" w:eastAsia="en-US"/>
        </w:rPr>
        <w:t xml:space="preserve">typically </w:t>
      </w:r>
      <w:r w:rsidR="00810539">
        <w:rPr>
          <w:lang w:val="en-GB" w:eastAsia="en-US"/>
        </w:rPr>
        <w:t xml:space="preserve">around 0.5 </w:t>
      </w:r>
      <w:r w:rsidR="0077575A">
        <w:rPr>
          <w:lang w:val="en-GB" w:eastAsia="en-US"/>
        </w:rPr>
        <w:t>for urban, suburban, and rural areas and can reach 1 for mountainous areas</w:t>
      </w:r>
      <w:r w:rsidR="00810539">
        <w:rPr>
          <w:lang w:val="en-GB" w:eastAsia="en-US"/>
        </w:rPr>
        <w:t xml:space="preserve">. </w:t>
      </w:r>
    </w:p>
    <w:p w:rsidR="0077575A" w:rsidRDefault="0077575A" w:rsidP="00405675">
      <w:pPr>
        <w:rPr>
          <w:lang w:val="en-GB" w:eastAsia="en-US"/>
        </w:rPr>
      </w:pPr>
    </w:p>
    <w:p w:rsidR="00E74E2E" w:rsidRDefault="00810539" w:rsidP="00405675">
      <w:pPr>
        <w:rPr>
          <w:lang w:val="en-GB" w:eastAsia="en-US"/>
        </w:rPr>
      </w:pPr>
      <w:r>
        <w:rPr>
          <w:lang w:val="en-GB" w:eastAsia="en-US"/>
        </w:rPr>
        <w:t>According to the above model</w:t>
      </w:r>
      <w:r w:rsidR="00E74E2E">
        <w:rPr>
          <w:lang w:val="en-GB" w:eastAsia="en-US"/>
        </w:rPr>
        <w:t xml:space="preserve"> and assuming deviation 4.7 dB for suburban and 5.3 dB for rural </w:t>
      </w:r>
      <w:r w:rsidR="00E74E2E">
        <w:rPr>
          <w:lang w:val="en-GB" w:eastAsia="en-US"/>
        </w:rPr>
        <w:lastRenderedPageBreak/>
        <w:t>areas</w:t>
      </w:r>
      <w:r>
        <w:rPr>
          <w:lang w:val="en-GB" w:eastAsia="en-US"/>
        </w:rPr>
        <w:t xml:space="preserve">, the delay spread for cell radius of 35 km is </w:t>
      </w:r>
      <w:r w:rsidR="00E74E2E">
        <w:rPr>
          <w:lang w:val="en-GB" w:eastAsia="en-US"/>
        </w:rPr>
        <w:t xml:space="preserve">less than 3.3 </w:t>
      </w:r>
      <w:r w:rsidR="00E74E2E">
        <w:rPr>
          <w:rFonts w:ascii="Symbol" w:hAnsi="Symbol"/>
          <w:lang w:val="en-GB" w:eastAsia="en-US"/>
        </w:rPr>
        <w:t></w:t>
      </w:r>
      <w:r w:rsidR="00E74E2E">
        <w:rPr>
          <w:lang w:val="en-GB" w:eastAsia="en-US"/>
        </w:rPr>
        <w:t xml:space="preserve">s and 9.8 </w:t>
      </w:r>
      <w:r w:rsidR="00E74E2E">
        <w:rPr>
          <w:rFonts w:ascii="Symbol" w:hAnsi="Symbol"/>
          <w:lang w:val="en-GB" w:eastAsia="en-US"/>
        </w:rPr>
        <w:t></w:t>
      </w:r>
      <w:r w:rsidR="00E74E2E">
        <w:rPr>
          <w:lang w:val="en-GB" w:eastAsia="en-US"/>
        </w:rPr>
        <w:t>s for rural and suburban, respectively,</w:t>
      </w:r>
      <w:r>
        <w:rPr>
          <w:lang w:val="en-GB" w:eastAsia="en-US"/>
        </w:rPr>
        <w:t xml:space="preserve"> </w:t>
      </w:r>
      <w:r w:rsidR="00E74E2E">
        <w:rPr>
          <w:lang w:val="en-GB" w:eastAsia="en-US"/>
        </w:rPr>
        <w:t>with</w:t>
      </w:r>
      <w:r>
        <w:rPr>
          <w:lang w:val="en-GB" w:eastAsia="en-US"/>
        </w:rPr>
        <w:t xml:space="preserve"> 95% confidence level.</w:t>
      </w:r>
      <w:r w:rsidR="00E74E2E">
        <w:rPr>
          <w:lang w:val="en-GB" w:eastAsia="en-US"/>
        </w:rPr>
        <w:t xml:space="preserve"> In reality, a cellular cell of radius 35km will unlikely be all in a typical suburban area. The actual delay spread of a cell</w:t>
      </w:r>
      <w:r w:rsidR="00767305">
        <w:rPr>
          <w:lang w:val="en-GB" w:eastAsia="en-US"/>
        </w:rPr>
        <w:t xml:space="preserve"> of 35 km radius</w:t>
      </w:r>
      <w:r w:rsidR="00E74E2E">
        <w:rPr>
          <w:lang w:val="en-GB" w:eastAsia="en-US"/>
        </w:rPr>
        <w:t xml:space="preserve"> will likely be smaller than </w:t>
      </w:r>
      <w:r w:rsidR="00767305">
        <w:rPr>
          <w:lang w:val="en-GB" w:eastAsia="en-US"/>
        </w:rPr>
        <w:t>9.8</w:t>
      </w:r>
      <w:r w:rsidR="00E74E2E">
        <w:rPr>
          <w:lang w:val="en-GB" w:eastAsia="en-US"/>
        </w:rPr>
        <w:t xml:space="preserve"> </w:t>
      </w:r>
      <w:r w:rsidR="00767305">
        <w:rPr>
          <w:rFonts w:ascii="Symbol" w:hAnsi="Symbol"/>
          <w:lang w:val="en-GB" w:eastAsia="en-US"/>
        </w:rPr>
        <w:t></w:t>
      </w:r>
      <w:r w:rsidR="00E74E2E">
        <w:rPr>
          <w:lang w:val="en-GB" w:eastAsia="en-US"/>
        </w:rPr>
        <w:t xml:space="preserve">s. </w:t>
      </w:r>
      <w:r w:rsidR="00767305">
        <w:rPr>
          <w:lang w:val="en-GB" w:eastAsia="en-US"/>
        </w:rPr>
        <w:t xml:space="preserve">As a comparison, the maximal delay spread considered is 16.7 </w:t>
      </w:r>
      <w:r w:rsidR="00014E28" w:rsidRPr="00014E28">
        <w:rPr>
          <w:rFonts w:ascii="Symbol" w:hAnsi="Symbol"/>
          <w:lang w:val="en-GB" w:eastAsia="en-US"/>
        </w:rPr>
        <w:t></w:t>
      </w:r>
      <w:r w:rsidR="00767305">
        <w:rPr>
          <w:lang w:val="en-GB" w:eastAsia="en-US"/>
        </w:rPr>
        <w:t>s for cell radius up to 100</w:t>
      </w:r>
      <w:r w:rsidR="00014E28">
        <w:rPr>
          <w:lang w:val="en-GB" w:eastAsia="en-US"/>
        </w:rPr>
        <w:t xml:space="preserve"> km in LTE and 20</w:t>
      </w:r>
      <w:r w:rsidR="00014E28" w:rsidRPr="00014E28">
        <w:rPr>
          <w:rFonts w:ascii="Symbol" w:hAnsi="Symbol"/>
          <w:lang w:val="en-GB" w:eastAsia="en-US"/>
        </w:rPr>
        <w:t></w:t>
      </w:r>
      <w:r w:rsidR="00014E28">
        <w:rPr>
          <w:lang w:val="en-GB" w:eastAsia="en-US"/>
        </w:rPr>
        <w:t>s in GSM for hilly terrains.</w:t>
      </w:r>
      <w:r w:rsidR="00E1576E">
        <w:rPr>
          <w:lang w:val="en-GB" w:eastAsia="en-US"/>
        </w:rPr>
        <w:t xml:space="preserve"> At 288 kH</w:t>
      </w:r>
      <w:r w:rsidR="0077575A">
        <w:rPr>
          <w:lang w:val="en-GB" w:eastAsia="en-US"/>
        </w:rPr>
        <w:t>z sampling rate, the delay spread is about 2.8 sample</w:t>
      </w:r>
      <w:r w:rsidR="008E0670">
        <w:rPr>
          <w:lang w:val="en-GB" w:eastAsia="en-US"/>
        </w:rPr>
        <w:t xml:space="preserve"> duration</w:t>
      </w:r>
      <w:r w:rsidR="0077575A">
        <w:rPr>
          <w:lang w:val="en-GB" w:eastAsia="en-US"/>
        </w:rPr>
        <w:t>s if 10 us is considered and 5.6 sample</w:t>
      </w:r>
      <w:r w:rsidR="008E0670">
        <w:rPr>
          <w:lang w:val="en-GB" w:eastAsia="en-US"/>
        </w:rPr>
        <w:t xml:space="preserve"> duration</w:t>
      </w:r>
      <w:r w:rsidR="0077575A">
        <w:rPr>
          <w:lang w:val="en-GB" w:eastAsia="en-US"/>
        </w:rPr>
        <w:t xml:space="preserve">s if 20 </w:t>
      </w:r>
      <w:r w:rsidR="0077575A" w:rsidRPr="00785B42">
        <w:rPr>
          <w:rFonts w:ascii="Symbol" w:hAnsi="Symbol"/>
          <w:lang w:val="en-GB" w:eastAsia="en-US"/>
        </w:rPr>
        <w:t></w:t>
      </w:r>
      <w:r w:rsidR="0077575A">
        <w:rPr>
          <w:lang w:val="en-GB" w:eastAsia="en-US"/>
        </w:rPr>
        <w:t xml:space="preserve">s is to considered. </w:t>
      </w:r>
      <w:r w:rsidR="00785B42">
        <w:rPr>
          <w:lang w:val="en-GB" w:eastAsia="en-US"/>
        </w:rPr>
        <w:t>Providing certain margin for timing errors, it is proposed to have the CP length of normal slots 10 samples for extended cells.</w:t>
      </w:r>
    </w:p>
    <w:p w:rsidR="00576BCF" w:rsidRDefault="00810539" w:rsidP="00576BCF">
      <w:pPr>
        <w:pStyle w:val="Heading2"/>
        <w:rPr>
          <w:lang w:val="en-GB" w:eastAsia="en-US"/>
        </w:rPr>
      </w:pPr>
      <w:r>
        <w:rPr>
          <w:lang w:val="en-GB" w:eastAsia="en-US"/>
        </w:rPr>
        <w:t>Extended CP</w:t>
      </w:r>
    </w:p>
    <w:p w:rsidR="001121A5" w:rsidRDefault="008E0670" w:rsidP="00576BCF">
      <w:pPr>
        <w:rPr>
          <w:lang w:val="en-GB" w:eastAsia="en-US"/>
        </w:rPr>
      </w:pPr>
      <w:r>
        <w:rPr>
          <w:lang w:val="en-GB" w:eastAsia="en-US"/>
        </w:rPr>
        <w:t xml:space="preserve">In the narrow-band OFDMA design [1], extended CP needs to be long enough to accommodate the sum of round-trip delay and channel delay spread. For a distance of 35 km, the round trip delay is 230 </w:t>
      </w:r>
      <w:r w:rsidRPr="008E0670">
        <w:rPr>
          <w:rFonts w:ascii="Symbol" w:hAnsi="Symbol"/>
          <w:lang w:val="en-GB" w:eastAsia="en-US"/>
        </w:rPr>
        <w:t></w:t>
      </w:r>
      <w:r>
        <w:rPr>
          <w:lang w:val="en-GB" w:eastAsia="en-US"/>
        </w:rPr>
        <w:t xml:space="preserve">s or 67 sample durations. Consequently, the CP length must have more than 67+5.6=73.6 samples. This becomes inefficient for PUSCH traffics </w:t>
      </w:r>
      <w:r w:rsidR="006A4449">
        <w:rPr>
          <w:lang w:val="en-GB" w:eastAsia="en-US"/>
        </w:rPr>
        <w:t>during</w:t>
      </w:r>
      <w:r>
        <w:rPr>
          <w:lang w:val="en-GB" w:eastAsia="en-US"/>
        </w:rPr>
        <w:t xml:space="preserve"> the extended slots although their UL timings have already been acquired</w:t>
      </w:r>
      <w:r w:rsidR="00977B6E">
        <w:rPr>
          <w:lang w:val="en-GB" w:eastAsia="en-US"/>
        </w:rPr>
        <w:t xml:space="preserve"> and compensated. For better efficiency of PUSCH during extended slots, </w:t>
      </w:r>
      <w:r w:rsidR="00324699">
        <w:rPr>
          <w:lang w:val="en-GB" w:eastAsia="en-US"/>
        </w:rPr>
        <w:t xml:space="preserve">PRACH symbol length is doubled and </w:t>
      </w:r>
      <w:r w:rsidR="00F84296">
        <w:rPr>
          <w:lang w:val="en-GB" w:eastAsia="en-US"/>
        </w:rPr>
        <w:t xml:space="preserve">each PRACH symbol has a CP of </w:t>
      </w:r>
      <w:r w:rsidR="006A4449">
        <w:rPr>
          <w:lang w:val="en-GB" w:eastAsia="en-US"/>
        </w:rPr>
        <w:t>84</w:t>
      </w:r>
      <w:r w:rsidR="00F84296">
        <w:rPr>
          <w:lang w:val="en-GB" w:eastAsia="en-US"/>
        </w:rPr>
        <w:t xml:space="preserve"> samples. For PUSCH traffic during extended slots, </w:t>
      </w:r>
      <w:r w:rsidR="006A4449">
        <w:rPr>
          <w:lang w:val="en-GB" w:eastAsia="en-US"/>
        </w:rPr>
        <w:t xml:space="preserve">a silent period of 64 samples is inserted before each even-numbered symbol. </w:t>
      </w:r>
      <w:r w:rsidR="001121A5">
        <w:rPr>
          <w:lang w:val="en-GB" w:eastAsia="en-US"/>
        </w:rPr>
        <w:t xml:space="preserve">Consequently, the average </w:t>
      </w:r>
      <w:r w:rsidR="006A4449">
        <w:rPr>
          <w:lang w:val="en-GB" w:eastAsia="en-US"/>
        </w:rPr>
        <w:t>time overhead is 42/128 and power overhead is 10/128 for PUSCH during extended slots.</w:t>
      </w:r>
    </w:p>
    <w:p w:rsidR="001121A5" w:rsidRDefault="001121A5" w:rsidP="00576BCF">
      <w:pPr>
        <w:rPr>
          <w:lang w:val="en-GB" w:eastAsia="en-US"/>
        </w:rPr>
      </w:pPr>
    </w:p>
    <w:p w:rsidR="00F84296" w:rsidRDefault="001121A5" w:rsidP="00576BCF">
      <w:pPr>
        <w:rPr>
          <w:lang w:val="en-GB" w:eastAsia="en-US"/>
        </w:rPr>
      </w:pPr>
      <w:r>
        <w:rPr>
          <w:lang w:val="en-GB" w:eastAsia="en-US"/>
        </w:rPr>
        <w:t>The</w:t>
      </w:r>
      <w:r w:rsidR="00F84296">
        <w:rPr>
          <w:lang w:val="en-GB" w:eastAsia="en-US"/>
        </w:rPr>
        <w:t xml:space="preserve"> </w:t>
      </w:r>
      <w:r w:rsidR="005E2D5B">
        <w:rPr>
          <w:lang w:val="en-GB" w:eastAsia="en-US"/>
        </w:rPr>
        <w:t>proposed PRACH and PUSCH symbol alignment</w:t>
      </w:r>
      <w:r>
        <w:rPr>
          <w:lang w:val="en-GB" w:eastAsia="en-US"/>
        </w:rPr>
        <w:t xml:space="preserve"> is depicted in Fig</w:t>
      </w:r>
      <w:r w:rsidR="005E2D5B">
        <w:rPr>
          <w:lang w:val="en-GB" w:eastAsia="en-US"/>
        </w:rPr>
        <w:t>ure</w:t>
      </w:r>
      <w:r>
        <w:rPr>
          <w:lang w:val="en-GB" w:eastAsia="en-US"/>
        </w:rPr>
        <w:t xml:space="preserve"> 1.</w:t>
      </w:r>
    </w:p>
    <w:p w:rsidR="001121A5" w:rsidRDefault="001121A5" w:rsidP="00576BCF">
      <w:pPr>
        <w:rPr>
          <w:lang w:val="en-GB" w:eastAsia="en-US"/>
        </w:rPr>
      </w:pPr>
    </w:p>
    <w:p w:rsidR="00921017" w:rsidRPr="00576BCF" w:rsidRDefault="006A4449" w:rsidP="006A4449">
      <w:pPr>
        <w:pStyle w:val="Caption"/>
        <w:jc w:val="center"/>
        <w:rPr>
          <w:lang w:val="en-GB" w:eastAsia="en-US"/>
        </w:rPr>
      </w:pPr>
      <w:r>
        <w:rPr>
          <w:lang w:val="en-GB" w:eastAsia="en-US"/>
        </w:rPr>
        <w:object w:dxaOrig="11108" w:dyaOrig="3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45pt;height:197.65pt" o:ole="">
            <v:imagedata r:id="rId8" o:title=""/>
          </v:shape>
          <o:OLEObject Type="Embed" ProgID="Visio.Drawing.11" ShapeID="_x0000_i1025" DrawAspect="Content" ObjectID="_1483902172" r:id="rId9"/>
        </w:object>
      </w:r>
      <w:r>
        <w:t xml:space="preserve">Figure </w:t>
      </w:r>
      <w:r w:rsidR="00A13753">
        <w:fldChar w:fldCharType="begin"/>
      </w:r>
      <w:r w:rsidR="00A13753">
        <w:instrText xml:space="preserve"> SEQ Figure \* ARABIC </w:instrText>
      </w:r>
      <w:r w:rsidR="00A13753">
        <w:fldChar w:fldCharType="separate"/>
      </w:r>
      <w:r w:rsidR="00040981">
        <w:rPr>
          <w:noProof/>
        </w:rPr>
        <w:t>1</w:t>
      </w:r>
      <w:r w:rsidR="00A13753">
        <w:rPr>
          <w:noProof/>
        </w:rPr>
        <w:fldChar w:fldCharType="end"/>
      </w:r>
      <w:r>
        <w:t xml:space="preserve"> Symbol time alignment in extended slots.</w:t>
      </w:r>
    </w:p>
    <w:p w:rsidR="00E657FB" w:rsidRDefault="006A4449" w:rsidP="00E657FB">
      <w:pPr>
        <w:pStyle w:val="Heading1"/>
      </w:pPr>
      <w:r>
        <w:lastRenderedPageBreak/>
        <w:t xml:space="preserve">PRACH </w:t>
      </w:r>
    </w:p>
    <w:p w:rsidR="00AF68B2" w:rsidRDefault="00F21404" w:rsidP="00E96E88">
      <w:pPr>
        <w:pStyle w:val="Heading1"/>
        <w:numPr>
          <w:ilvl w:val="0"/>
          <w:numId w:val="0"/>
        </w:num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At the transmitter, a PRACH symbol with 256 samples is generated as a repetition of </w:t>
      </w:r>
      <w:r w:rsidR="005E2D5B">
        <w:rPr>
          <w:rStyle w:val="StyleLatinBodyCalibri11pt"/>
          <w:rFonts w:ascii="Times New Roman" w:hAnsi="Times New Roman" w:cs="Times New Roman"/>
          <w:sz w:val="21"/>
          <w:szCs w:val="21"/>
        </w:rPr>
        <w:t>two of the 128-point IFFT output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At the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receiver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>128-point FFT are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taken at PUSCH symbol boundaries. For PRACH, two FFT outputs are phase shifted and then combined to obtain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>a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symbol estimate.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With symbol timing and CP as in Figure 1, UL symbols including PUSCH and PRACH symbols are orthogonal to each other within a PUSCH symbol duration. Since PRACH 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symbol duration is doubled, the corresponding symbol signal to noise ratio is increase by 3 dB when compared to that of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>PUSCH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>with the same receive power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. </w:t>
      </w:r>
    </w:p>
    <w:p w:rsidR="00E130F3" w:rsidRDefault="005E2D5B" w:rsidP="00E96E88">
      <w:pPr>
        <w:pStyle w:val="Heading1"/>
        <w:numPr>
          <w:ilvl w:val="0"/>
          <w:numId w:val="0"/>
        </w:numPr>
        <w:rPr>
          <w:rStyle w:val="StyleLatinBodyCalibri11pt"/>
          <w:rFonts w:ascii="Times New Roman" w:hAnsi="Times New Roman" w:cs="Times New Roman"/>
          <w:sz w:val="21"/>
          <w:szCs w:val="21"/>
        </w:r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To support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round trip delay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s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up to 67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sample duration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>s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, the micro-hopping gap can be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>at most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1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tone 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due to </w:t>
      </w:r>
      <w:r w:rsidR="00AF68B2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phase ambiguity [2]. This 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can significantly reduce the 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>accuracy of timing estimation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as compared to the case with a micro-hopping gap 6 [2]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>. For better timing estimation</w:t>
      </w:r>
      <w:r w:rsidR="00C858D8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when path loss is large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, TPSK(2,2) [4] </w:t>
      </w:r>
      <w:r w:rsidR="00C858D8">
        <w:rPr>
          <w:rStyle w:val="StyleLatinBodyCalibri11pt"/>
          <w:rFonts w:ascii="Times New Roman" w:hAnsi="Times New Roman" w:cs="Times New Roman"/>
          <w:sz w:val="21"/>
          <w:szCs w:val="21"/>
        </w:rPr>
        <w:t>is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used for PRACH to </w:t>
      </w:r>
      <w:r w:rsidR="00C858D8">
        <w:rPr>
          <w:rStyle w:val="StyleLatinBodyCalibri11pt"/>
          <w:rFonts w:ascii="Times New Roman" w:hAnsi="Times New Roman" w:cs="Times New Roman"/>
          <w:sz w:val="21"/>
          <w:szCs w:val="21"/>
        </w:rPr>
        <w:t>reduce the effect of estimation error of</w:t>
      </w:r>
      <w:r w:rsidR="00853224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frequency offset.</w:t>
      </w:r>
    </w:p>
    <w:p w:rsidR="00F66D38" w:rsidRPr="00F66D38" w:rsidRDefault="001121BD" w:rsidP="006A61DB">
      <w:pPr>
        <w:pStyle w:val="Heading1"/>
        <w:numPr>
          <w:ilvl w:val="0"/>
          <w:numId w:val="0"/>
        </w:numPr>
      </w:pPr>
      <w:r>
        <w:rPr>
          <w:rStyle w:val="StyleLatinBodyCalibri11pt"/>
          <w:rFonts w:ascii="Times New Roman" w:hAnsi="Times New Roman" w:cs="Times New Roman"/>
          <w:sz w:val="21"/>
          <w:szCs w:val="21"/>
        </w:rPr>
        <w:t>For large cells</w:t>
      </w:r>
      <w:r w:rsidR="0060785E">
        <w:rPr>
          <w:rStyle w:val="StyleLatinBodyCalibri11pt"/>
          <w:rFonts w:ascii="Times New Roman" w:hAnsi="Times New Roman" w:cs="Times New Roman"/>
          <w:sz w:val="21"/>
          <w:szCs w:val="21"/>
        </w:rPr>
        <w:t>,</w:t>
      </w:r>
      <w:r w:rsidR="000216C3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the first 24</w:t>
      </w:r>
      <w:r w:rsidR="00E130F3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UL slots are extended slots, each with 14 PUSCH symbols and 7 PRACH symbols. </w:t>
      </w:r>
      <w:r w:rsidR="006A61DB">
        <w:rPr>
          <w:rStyle w:val="StyleLatinBodyCalibri11pt"/>
          <w:rFonts w:ascii="Times New Roman" w:hAnsi="Times New Roman" w:cs="Times New Roman"/>
          <w:sz w:val="21"/>
          <w:szCs w:val="21"/>
        </w:rPr>
        <w:t>A total of 3</w:t>
      </w:r>
      <w:r w:rsidR="00C858D8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modulation and coding schemes (MCS’s) are used for PRACH</w:t>
      </w:r>
      <w:r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as described in Table 1. And their corresponding pilot patterns are shown in Figure 2.</w:t>
      </w:r>
      <w:r w:rsidR="00C858D8">
        <w:rPr>
          <w:rStyle w:val="StyleLatinBodyCalibri11pt"/>
          <w:rFonts w:ascii="Times New Roman" w:hAnsi="Times New Roman" w:cs="Times New Roman"/>
          <w:sz w:val="21"/>
          <w:szCs w:val="21"/>
        </w:rPr>
        <w:t xml:space="preserve"> </w:t>
      </w:r>
    </w:p>
    <w:p w:rsidR="006A61DB" w:rsidRDefault="006A61DB" w:rsidP="006A61D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PRACH MCS of large cells.</w:t>
      </w:r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1192"/>
        <w:gridCol w:w="1086"/>
        <w:gridCol w:w="1185"/>
      </w:tblGrid>
      <w:tr w:rsidR="006A61DB" w:rsidTr="006A61DB">
        <w:trPr>
          <w:jc w:val="center"/>
        </w:trPr>
        <w:tc>
          <w:tcPr>
            <w:tcW w:w="3733" w:type="dxa"/>
            <w:vMerge w:val="restart"/>
            <w:shd w:val="clear" w:color="auto" w:fill="auto"/>
          </w:tcPr>
          <w:p w:rsidR="006A61DB" w:rsidRDefault="006A61DB" w:rsidP="00AF7C4A">
            <w:pPr>
              <w:jc w:val="left"/>
            </w:pPr>
            <w:r>
              <w:t>Modulation and Coding Scheme (MCS)</w:t>
            </w:r>
          </w:p>
        </w:tc>
        <w:tc>
          <w:tcPr>
            <w:tcW w:w="1192" w:type="dxa"/>
          </w:tcPr>
          <w:p w:rsidR="006A61DB" w:rsidRDefault="006A61DB" w:rsidP="00AF7C4A">
            <w:pPr>
              <w:jc w:val="center"/>
            </w:pPr>
            <w:r>
              <w:t>1</w:t>
            </w:r>
          </w:p>
        </w:tc>
        <w:tc>
          <w:tcPr>
            <w:tcW w:w="1086" w:type="dxa"/>
            <w:shd w:val="clear" w:color="auto" w:fill="auto"/>
          </w:tcPr>
          <w:p w:rsidR="006A61DB" w:rsidRDefault="006A61DB" w:rsidP="00AF7C4A">
            <w:pPr>
              <w:jc w:val="center"/>
            </w:pPr>
            <w:r>
              <w:t>2</w:t>
            </w:r>
          </w:p>
        </w:tc>
        <w:tc>
          <w:tcPr>
            <w:tcW w:w="1185" w:type="dxa"/>
            <w:shd w:val="clear" w:color="auto" w:fill="auto"/>
          </w:tcPr>
          <w:p w:rsidR="006A61DB" w:rsidRDefault="006A61DB" w:rsidP="00AF7C4A">
            <w:pPr>
              <w:jc w:val="center"/>
            </w:pPr>
            <w:r>
              <w:t>3</w:t>
            </w:r>
          </w:p>
        </w:tc>
      </w:tr>
      <w:tr w:rsidR="006A61DB" w:rsidTr="006A61DB">
        <w:trPr>
          <w:jc w:val="center"/>
        </w:trPr>
        <w:tc>
          <w:tcPr>
            <w:tcW w:w="3733" w:type="dxa"/>
            <w:vMerge/>
            <w:shd w:val="clear" w:color="auto" w:fill="auto"/>
          </w:tcPr>
          <w:p w:rsidR="006A61DB" w:rsidRDefault="006A61DB" w:rsidP="00F66D38">
            <w:pPr>
              <w:jc w:val="left"/>
            </w:pPr>
          </w:p>
        </w:tc>
        <w:tc>
          <w:tcPr>
            <w:tcW w:w="1192" w:type="dxa"/>
            <w:vAlign w:val="center"/>
          </w:tcPr>
          <w:p w:rsidR="006A61DB" w:rsidRDefault="006A61DB" w:rsidP="00F66D38">
            <w:pPr>
              <w:jc w:val="center"/>
            </w:pPr>
            <w:r>
              <w:t>QPSK, 3/4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BPSK 1/2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TPSK(2,2), 1/6</w:t>
            </w:r>
          </w:p>
        </w:tc>
      </w:tr>
      <w:tr w:rsidR="006A61DB" w:rsidTr="006A61DB">
        <w:trPr>
          <w:jc w:val="center"/>
        </w:trPr>
        <w:tc>
          <w:tcPr>
            <w:tcW w:w="3733" w:type="dxa"/>
            <w:shd w:val="clear" w:color="auto" w:fill="auto"/>
          </w:tcPr>
          <w:p w:rsidR="006A61DB" w:rsidRDefault="006A61DB" w:rsidP="00F66D38">
            <w:pPr>
              <w:jc w:val="left"/>
            </w:pPr>
            <w:r>
              <w:t>Pilot Pattern</w:t>
            </w:r>
          </w:p>
        </w:tc>
        <w:tc>
          <w:tcPr>
            <w:tcW w:w="1192" w:type="dxa"/>
          </w:tcPr>
          <w:p w:rsidR="006A61DB" w:rsidRDefault="006A61DB" w:rsidP="00F66D38">
            <w:pPr>
              <w:jc w:val="center"/>
            </w:pPr>
            <w: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1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2</w:t>
            </w:r>
          </w:p>
        </w:tc>
      </w:tr>
      <w:tr w:rsidR="006A61DB" w:rsidTr="006A61DB">
        <w:trPr>
          <w:jc w:val="center"/>
        </w:trPr>
        <w:tc>
          <w:tcPr>
            <w:tcW w:w="3733" w:type="dxa"/>
            <w:shd w:val="clear" w:color="auto" w:fill="auto"/>
          </w:tcPr>
          <w:p w:rsidR="006A61DB" w:rsidRDefault="006A61DB" w:rsidP="00F66D38">
            <w:pPr>
              <w:jc w:val="left"/>
            </w:pPr>
            <w:r>
              <w:t>Number of slots for a PRACH segment</w:t>
            </w:r>
          </w:p>
        </w:tc>
        <w:tc>
          <w:tcPr>
            <w:tcW w:w="1192" w:type="dxa"/>
          </w:tcPr>
          <w:p w:rsidR="006A61DB" w:rsidRDefault="006A61DB" w:rsidP="00F66D38">
            <w:pPr>
              <w:jc w:val="center"/>
            </w:pPr>
            <w: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12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24</w:t>
            </w:r>
          </w:p>
        </w:tc>
      </w:tr>
      <w:tr w:rsidR="006A61DB" w:rsidTr="006A61DB">
        <w:trPr>
          <w:jc w:val="center"/>
        </w:trPr>
        <w:tc>
          <w:tcPr>
            <w:tcW w:w="3733" w:type="dxa"/>
            <w:shd w:val="clear" w:color="auto" w:fill="auto"/>
          </w:tcPr>
          <w:p w:rsidR="006A61DB" w:rsidRDefault="006A61DB" w:rsidP="00F66D38">
            <w:pPr>
              <w:jc w:val="left"/>
            </w:pPr>
            <w:r>
              <w:t xml:space="preserve">Number of segments per 2 tone per frame </w:t>
            </w:r>
          </w:p>
        </w:tc>
        <w:tc>
          <w:tcPr>
            <w:tcW w:w="1192" w:type="dxa"/>
          </w:tcPr>
          <w:p w:rsidR="006A61DB" w:rsidRDefault="006A61DB" w:rsidP="00F66D38">
            <w:pPr>
              <w:jc w:val="center"/>
            </w:pPr>
            <w:r>
              <w:t>12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4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6A61DB" w:rsidRDefault="006A61DB" w:rsidP="00F66D38">
            <w:pPr>
              <w:jc w:val="center"/>
            </w:pPr>
            <w:r>
              <w:t>1</w:t>
            </w:r>
          </w:p>
        </w:tc>
      </w:tr>
    </w:tbl>
    <w:p w:rsidR="006A61DB" w:rsidRDefault="006A61DB" w:rsidP="006A61DB"/>
    <w:p w:rsidR="006A61DB" w:rsidRDefault="006A61DB" w:rsidP="006A61DB"/>
    <w:p w:rsidR="006A61DB" w:rsidRDefault="006A61DB" w:rsidP="006A61DB"/>
    <w:p w:rsidR="006A61DB" w:rsidRDefault="006A61DB" w:rsidP="006A61DB">
      <w:pPr>
        <w:keepNext/>
      </w:pPr>
      <w:r>
        <w:object w:dxaOrig="7525" w:dyaOrig="2784">
          <v:shape id="_x0000_i1026" type="#_x0000_t75" style="width:376.3pt;height:139.25pt" o:ole="">
            <v:imagedata r:id="rId10" o:title=""/>
          </v:shape>
          <o:OLEObject Type="Embed" ProgID="Visio.Drawing.11" ShapeID="_x0000_i1026" DrawAspect="Content" ObjectID="_1483902173" r:id="rId11"/>
        </w:object>
      </w:r>
    </w:p>
    <w:p w:rsidR="006A61DB" w:rsidRDefault="006A61DB" w:rsidP="006A61DB">
      <w:pPr>
        <w:pStyle w:val="Caption"/>
        <w:jc w:val="center"/>
      </w:pPr>
      <w:r>
        <w:t xml:space="preserve">Figure </w:t>
      </w:r>
      <w:fldSimple w:instr=" SEQ Figure \* ARABIC ">
        <w:r w:rsidR="00040981">
          <w:rPr>
            <w:noProof/>
          </w:rPr>
          <w:t>2</w:t>
        </w:r>
      </w:fldSimple>
      <w:r>
        <w:t xml:space="preserve"> PRACH pilot patterns of large cells.</w:t>
      </w:r>
    </w:p>
    <w:p w:rsidR="00E03BA6" w:rsidRPr="00E03BA6" w:rsidRDefault="00E03BA6" w:rsidP="00E03BA6"/>
    <w:p w:rsidR="006A61DB" w:rsidRDefault="005E2D5B" w:rsidP="006A61DB">
      <w:r>
        <w:t xml:space="preserve">A </w:t>
      </w:r>
      <w:r w:rsidR="00E03BA6">
        <w:t xml:space="preserve">PRACH segment associated with MCS 1 or MCS 2 is only assigned a single tone. For these two MCS’s, phase offset between pilots of two consecutive slots are used to estimate timing as described </w:t>
      </w:r>
      <w:r w:rsidR="00E03BA6">
        <w:lastRenderedPageBreak/>
        <w:t>in [2].  For MCS 3, one PRACH segment</w:t>
      </w:r>
      <w:r>
        <w:t xml:space="preserve"> takes two tones over 24 slots and the </w:t>
      </w:r>
      <w:r w:rsidR="00E03BA6">
        <w:t xml:space="preserve">phase offset between two consecutive pilot symbols is used for timing offset. </w:t>
      </w:r>
    </w:p>
    <w:p w:rsidR="00040981" w:rsidRDefault="00040981" w:rsidP="006A61DB"/>
    <w:p w:rsidR="006A61DB" w:rsidRDefault="007D4394" w:rsidP="006A61DB">
      <w:r>
        <w:t>Using only pilot symbols, t</w:t>
      </w:r>
      <w:r w:rsidR="00040981">
        <w:t>he CDF of timing error for MCS 3 over TU 1Hz channel is shown in Figure 3.</w:t>
      </w:r>
      <w:r>
        <w:t xml:space="preserve"> </w:t>
      </w:r>
    </w:p>
    <w:p w:rsidR="00040981" w:rsidRDefault="00040981" w:rsidP="00040981">
      <w:pPr>
        <w:keepNext/>
        <w:jc w:val="center"/>
      </w:pPr>
      <w:r w:rsidRPr="00040981">
        <w:rPr>
          <w:noProof/>
          <w:lang w:val="en-GB" w:eastAsia="en-GB"/>
        </w:rPr>
        <w:drawing>
          <wp:inline distT="0" distB="0" distL="0" distR="0" wp14:anchorId="687962D5" wp14:editId="13D17D6B">
            <wp:extent cx="4333875" cy="3381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229" cy="3381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1DB" w:rsidRDefault="00040981" w:rsidP="00040981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CDF of timing error with TPSK (2,2) and 24 slots (-1 </w:t>
      </w:r>
      <w:r w:rsidR="007D4394">
        <w:t>dB SINR corresponding to 164.5 dB MCL</w:t>
      </w:r>
      <w:r>
        <w:t>)</w:t>
      </w:r>
    </w:p>
    <w:p w:rsidR="006A61DB" w:rsidRPr="006A61DB" w:rsidRDefault="006A61DB" w:rsidP="006A61DB"/>
    <w:p w:rsidR="00D50503" w:rsidRDefault="00D50503" w:rsidP="00D50503">
      <w:pPr>
        <w:pStyle w:val="Heading1"/>
      </w:pPr>
      <w:r>
        <w:t>Summary</w:t>
      </w:r>
    </w:p>
    <w:p w:rsidR="003E76C5" w:rsidRPr="00E96E88" w:rsidRDefault="003E76C5" w:rsidP="00E96E88">
      <w:pPr>
        <w:rPr>
          <w:lang w:val="en-GB" w:eastAsia="en-US"/>
        </w:rPr>
      </w:pPr>
      <w:r>
        <w:rPr>
          <w:lang w:val="en-GB" w:eastAsia="en-US"/>
        </w:rPr>
        <w:t xml:space="preserve">This document presents </w:t>
      </w:r>
      <w:r w:rsidR="00040981">
        <w:rPr>
          <w:lang w:val="en-GB" w:eastAsia="en-US"/>
        </w:rPr>
        <w:t>CP and PRACH designs for large cells with radii up to 35 km</w:t>
      </w:r>
      <w:r>
        <w:rPr>
          <w:lang w:val="en-GB" w:eastAsia="en-US"/>
        </w:rPr>
        <w:t xml:space="preserve">. It is </w:t>
      </w:r>
      <w:r w:rsidR="00040981">
        <w:rPr>
          <w:lang w:val="en-GB" w:eastAsia="en-US"/>
        </w:rPr>
        <w:t>proposed to have 10 samples for PUSCH symbols. In extended slots, it is proposed to insert a silent period of a duration of 34 samples before each even-numbered PUSCH symbol. A PRACH symbol has twice the dura</w:t>
      </w:r>
      <w:r w:rsidR="00F13DC5">
        <w:rPr>
          <w:lang w:val="en-GB" w:eastAsia="en-US"/>
        </w:rPr>
        <w:t>tion of a PUSCH symbol and a CP of</w:t>
      </w:r>
      <w:r w:rsidR="00040981">
        <w:rPr>
          <w:lang w:val="en-GB" w:eastAsia="en-US"/>
        </w:rPr>
        <w:t xml:space="preserve"> 84 samples. </w:t>
      </w:r>
    </w:p>
    <w:p w:rsidR="00405675" w:rsidRDefault="00405675" w:rsidP="00405675">
      <w:pPr>
        <w:rPr>
          <w:lang w:val="en-GB" w:eastAsia="en-US"/>
        </w:rPr>
      </w:pPr>
    </w:p>
    <w:p w:rsidR="00405675" w:rsidRPr="00405675" w:rsidRDefault="00405675" w:rsidP="00405675">
      <w:pPr>
        <w:rPr>
          <w:lang w:val="en-GB" w:eastAsia="en-US"/>
        </w:rPr>
      </w:pPr>
    </w:p>
    <w:p w:rsidR="000905B4" w:rsidRPr="002C59DB" w:rsidRDefault="00F14A08" w:rsidP="00D50503">
      <w:pPr>
        <w:pStyle w:val="Heading1"/>
      </w:pPr>
      <w:r w:rsidRPr="002C59DB">
        <w:t>References</w:t>
      </w:r>
    </w:p>
    <w:p w:rsidR="00ED5BD8" w:rsidRPr="008E0669" w:rsidRDefault="00ED5BD8" w:rsidP="00ED5BD8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2" w:name="_Ref401740945"/>
      <w:bookmarkStart w:id="3" w:name="_Ref401059582"/>
      <w:r w:rsidRPr="008E0669">
        <w:rPr>
          <w:szCs w:val="21"/>
        </w:rPr>
        <w:t>GP-140839, Narrow Band OFDMA based proposal for GERAN Cellular IoT, Qualcomm Incorporated, GERAN #64, San Francisco, USA, November 2014.</w:t>
      </w:r>
      <w:bookmarkEnd w:id="2"/>
    </w:p>
    <w:p w:rsidR="00ED5BD8" w:rsidRDefault="00ED5BD8" w:rsidP="00ED5BD8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bookmarkStart w:id="4" w:name="_Ref403490500"/>
      <w:r w:rsidRPr="008E0669">
        <w:rPr>
          <w:szCs w:val="21"/>
        </w:rPr>
        <w:t>GP-140840, Narrowband OFDMA – Random Access, Qualcomm Incorporated, GERAN #64, November 2014</w:t>
      </w:r>
      <w:bookmarkEnd w:id="4"/>
      <w:r w:rsidR="002B49C4">
        <w:rPr>
          <w:szCs w:val="21"/>
        </w:rPr>
        <w:t>.</w:t>
      </w:r>
    </w:p>
    <w:p w:rsidR="002B49C4" w:rsidRPr="0046572E" w:rsidRDefault="007300EF" w:rsidP="0046572E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r>
        <w:rPr>
          <w:szCs w:val="21"/>
        </w:rPr>
        <w:lastRenderedPageBreak/>
        <w:t xml:space="preserve">Larry J. Greenstein </w:t>
      </w:r>
      <w:r w:rsidRPr="007300EF">
        <w:rPr>
          <w:i/>
          <w:szCs w:val="21"/>
        </w:rPr>
        <w:t>et al</w:t>
      </w:r>
      <w:r>
        <w:rPr>
          <w:szCs w:val="21"/>
        </w:rPr>
        <w:t>., “</w:t>
      </w:r>
      <w:r w:rsidRPr="007300EF">
        <w:rPr>
          <w:szCs w:val="21"/>
        </w:rPr>
        <w:t>New Path-Gain/Delay-Spread Propagation</w:t>
      </w:r>
      <w:r w:rsidR="0046572E">
        <w:rPr>
          <w:szCs w:val="21"/>
        </w:rPr>
        <w:t xml:space="preserve"> </w:t>
      </w:r>
      <w:r w:rsidRPr="0046572E">
        <w:rPr>
          <w:szCs w:val="21"/>
        </w:rPr>
        <w:t>Model for Digital Cellular Channels,” IEEE Tarns. On Vehicular Technology, pp. 477-485, Vol. 46, No. 2, May 1997.</w:t>
      </w:r>
    </w:p>
    <w:p w:rsidR="000905B4" w:rsidRPr="002B49C4" w:rsidRDefault="002B49C4" w:rsidP="002B49C4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Cs w:val="21"/>
        </w:rPr>
      </w:pPr>
      <w:r>
        <w:rPr>
          <w:szCs w:val="21"/>
        </w:rPr>
        <w:t>GP-140842</w:t>
      </w:r>
      <w:r w:rsidRPr="008E0669">
        <w:rPr>
          <w:szCs w:val="21"/>
        </w:rPr>
        <w:t xml:space="preserve">, Narrowband OFDMA – </w:t>
      </w:r>
      <w:r>
        <w:rPr>
          <w:szCs w:val="21"/>
        </w:rPr>
        <w:t>Tone Phase Shift Keying</w:t>
      </w:r>
      <w:r w:rsidRPr="008E0669">
        <w:rPr>
          <w:szCs w:val="21"/>
        </w:rPr>
        <w:t>, Qualcomm Incorporated, GERAN #64, November 2014</w:t>
      </w:r>
      <w:bookmarkEnd w:id="3"/>
      <w:r>
        <w:rPr>
          <w:szCs w:val="21"/>
        </w:rPr>
        <w:t>.</w:t>
      </w:r>
      <w:bookmarkStart w:id="5" w:name="_GoBack"/>
      <w:bookmarkEnd w:id="5"/>
    </w:p>
    <w:sectPr w:rsidR="000905B4" w:rsidRPr="002B49C4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753" w:rsidRDefault="00A13753">
      <w:r>
        <w:separator/>
      </w:r>
    </w:p>
  </w:endnote>
  <w:endnote w:type="continuationSeparator" w:id="0">
    <w:p w:rsidR="00A13753" w:rsidRDefault="00A1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C28" w:rsidRDefault="00C91C28" w:rsidP="00C91C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576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576E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753" w:rsidRDefault="00A13753">
      <w:r>
        <w:separator/>
      </w:r>
    </w:p>
  </w:footnote>
  <w:footnote w:type="continuationSeparator" w:id="0">
    <w:p w:rsidR="00A13753" w:rsidRDefault="00A13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5B7" w:rsidRDefault="00A725B1" w:rsidP="00992CB6">
    <w:pPr>
      <w:pStyle w:val="WP"/>
      <w:tabs>
        <w:tab w:val="right" w:pos="8280"/>
        <w:tab w:val="right" w:pos="10260"/>
      </w:tabs>
      <w:rPr>
        <w:rFonts w:ascii="Times New Roman" w:hAnsi="Times New Roman" w:cs="Times New Roman"/>
        <w:bCs/>
      </w:rPr>
    </w:pPr>
    <w:r>
      <w:rPr>
        <w:rFonts w:ascii="Times New Roman" w:hAnsi="Times New Roman" w:cs="Times New Roman"/>
        <w:bCs/>
      </w:rPr>
      <w:t>3</w:t>
    </w:r>
    <w:r w:rsidR="0005379D">
      <w:rPr>
        <w:rFonts w:ascii="Times New Roman" w:hAnsi="Times New Roman" w:cs="Times New Roman"/>
        <w:bCs/>
      </w:rPr>
      <w:t xml:space="preserve">GPP TSG GERAN </w:t>
    </w:r>
    <w:r w:rsidR="00165687">
      <w:rPr>
        <w:rStyle w:val="StyleLatinBodyCalibri11pt"/>
      </w:rPr>
      <w:t xml:space="preserve">Cellular IoT </w:t>
    </w:r>
    <w:r w:rsidR="00B416FC">
      <w:rPr>
        <w:rStyle w:val="StyleLatinBodyCalibri11pt"/>
      </w:rPr>
      <w:t>Ad Hoc</w:t>
    </w:r>
    <w:r w:rsidR="0005379D">
      <w:rPr>
        <w:rFonts w:ascii="Times New Roman" w:hAnsi="Times New Roman" w:cs="Times New Roman"/>
        <w:bCs/>
      </w:rPr>
      <w:tab/>
    </w:r>
    <w:r w:rsidR="007D4394">
      <w:rPr>
        <w:rFonts w:ascii="Times New Roman" w:hAnsi="Times New Roman" w:cs="Times New Roman"/>
        <w:bCs/>
      </w:rPr>
      <w:t>Tdoc GPC150069</w:t>
    </w:r>
  </w:p>
  <w:p w:rsidR="00E235B7" w:rsidRPr="00032304" w:rsidRDefault="00B416FC" w:rsidP="00E235B7">
    <w:pPr>
      <w:pStyle w:val="WP"/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  <w:r>
      <w:rPr>
        <w:rFonts w:ascii="Times New Roman" w:eastAsia="SimSun" w:hAnsi="Times New Roman" w:cs="Times New Roman"/>
        <w:bCs/>
        <w:lang w:eastAsia="zh-CN"/>
      </w:rPr>
      <w:t>Feb.2-5, 2015</w:t>
    </w:r>
  </w:p>
  <w:p w:rsidR="00032304" w:rsidRPr="00E235B7" w:rsidRDefault="00032304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159F5"/>
    <w:multiLevelType w:val="hybridMultilevel"/>
    <w:tmpl w:val="EA963D90"/>
    <w:lvl w:ilvl="0" w:tplc="CB8A175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D245F"/>
    <w:multiLevelType w:val="hybridMultilevel"/>
    <w:tmpl w:val="1768757A"/>
    <w:lvl w:ilvl="0" w:tplc="CB8A175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D6E"/>
    <w:multiLevelType w:val="hybridMultilevel"/>
    <w:tmpl w:val="E70EB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C11B3"/>
    <w:multiLevelType w:val="hybridMultilevel"/>
    <w:tmpl w:val="7B3C1280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207CB"/>
    <w:multiLevelType w:val="hybridMultilevel"/>
    <w:tmpl w:val="D79E7B92"/>
    <w:lvl w:ilvl="0" w:tplc="C1E403B6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5687387"/>
    <w:multiLevelType w:val="multilevel"/>
    <w:tmpl w:val="7A6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284959"/>
    <w:multiLevelType w:val="hybridMultilevel"/>
    <w:tmpl w:val="5AC841A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5537F"/>
    <w:multiLevelType w:val="hybridMultilevel"/>
    <w:tmpl w:val="12162A6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B830A18"/>
    <w:multiLevelType w:val="hybridMultilevel"/>
    <w:tmpl w:val="CFC076A4"/>
    <w:lvl w:ilvl="0" w:tplc="70DC42D2">
      <w:numFmt w:val="decimalZero"/>
      <w:lvlText w:val="%1"/>
      <w:lvlJc w:val="left"/>
      <w:pPr>
        <w:ind w:left="1680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DD0067"/>
    <w:multiLevelType w:val="hybridMultilevel"/>
    <w:tmpl w:val="2CA41F7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D4E4476"/>
    <w:multiLevelType w:val="hybridMultilevel"/>
    <w:tmpl w:val="4B929C5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443BA8"/>
    <w:multiLevelType w:val="hybridMultilevel"/>
    <w:tmpl w:val="D2489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66BA1"/>
    <w:multiLevelType w:val="hybridMultilevel"/>
    <w:tmpl w:val="ADE4A67A"/>
    <w:lvl w:ilvl="0" w:tplc="19867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2C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A1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E7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23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04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4B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60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C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BA2DF0"/>
    <w:multiLevelType w:val="hybridMultilevel"/>
    <w:tmpl w:val="1AE2C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842F6"/>
    <w:multiLevelType w:val="hybridMultilevel"/>
    <w:tmpl w:val="57F6E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E3AF6"/>
    <w:multiLevelType w:val="hybridMultilevel"/>
    <w:tmpl w:val="3EF46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070D0"/>
    <w:multiLevelType w:val="multilevel"/>
    <w:tmpl w:val="97FE6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E2A1B4E"/>
    <w:multiLevelType w:val="hybridMultilevel"/>
    <w:tmpl w:val="4A80A0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C0365"/>
    <w:multiLevelType w:val="hybridMultilevel"/>
    <w:tmpl w:val="4112C5EA"/>
    <w:lvl w:ilvl="0" w:tplc="C882B34A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5D5338A"/>
    <w:multiLevelType w:val="hybridMultilevel"/>
    <w:tmpl w:val="0038E2E2"/>
    <w:lvl w:ilvl="0" w:tplc="84424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26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AC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CA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E8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4EB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0C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AA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6696FF4"/>
    <w:multiLevelType w:val="hybridMultilevel"/>
    <w:tmpl w:val="FF305D74"/>
    <w:lvl w:ilvl="0" w:tplc="B27605B4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99C7422">
      <w:start w:val="2"/>
      <w:numFmt w:val="decimal"/>
      <w:isLgl/>
      <w:lvlText w:val="%2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 w:tplc="BB926182">
      <w:numFmt w:val="none"/>
      <w:lvlText w:val=""/>
      <w:lvlJc w:val="left"/>
      <w:pPr>
        <w:tabs>
          <w:tab w:val="num" w:pos="360"/>
        </w:tabs>
      </w:pPr>
    </w:lvl>
    <w:lvl w:ilvl="3" w:tplc="554CDD00">
      <w:numFmt w:val="none"/>
      <w:lvlText w:val=""/>
      <w:lvlJc w:val="left"/>
      <w:pPr>
        <w:tabs>
          <w:tab w:val="num" w:pos="360"/>
        </w:tabs>
      </w:pPr>
    </w:lvl>
    <w:lvl w:ilvl="4" w:tplc="C4CA263E">
      <w:numFmt w:val="none"/>
      <w:lvlText w:val=""/>
      <w:lvlJc w:val="left"/>
      <w:pPr>
        <w:tabs>
          <w:tab w:val="num" w:pos="360"/>
        </w:tabs>
      </w:pPr>
    </w:lvl>
    <w:lvl w:ilvl="5" w:tplc="969685FC">
      <w:numFmt w:val="none"/>
      <w:lvlText w:val=""/>
      <w:lvlJc w:val="left"/>
      <w:pPr>
        <w:tabs>
          <w:tab w:val="num" w:pos="360"/>
        </w:tabs>
      </w:pPr>
    </w:lvl>
    <w:lvl w:ilvl="6" w:tplc="A14204DA">
      <w:numFmt w:val="none"/>
      <w:lvlText w:val=""/>
      <w:lvlJc w:val="left"/>
      <w:pPr>
        <w:tabs>
          <w:tab w:val="num" w:pos="360"/>
        </w:tabs>
      </w:pPr>
    </w:lvl>
    <w:lvl w:ilvl="7" w:tplc="5F9A13B0">
      <w:numFmt w:val="none"/>
      <w:lvlText w:val=""/>
      <w:lvlJc w:val="left"/>
      <w:pPr>
        <w:tabs>
          <w:tab w:val="num" w:pos="360"/>
        </w:tabs>
      </w:pPr>
    </w:lvl>
    <w:lvl w:ilvl="8" w:tplc="A81019B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8FF347D"/>
    <w:multiLevelType w:val="hybridMultilevel"/>
    <w:tmpl w:val="CEF637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E60FB3"/>
    <w:multiLevelType w:val="hybridMultilevel"/>
    <w:tmpl w:val="FF540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C095E"/>
    <w:multiLevelType w:val="hybridMultilevel"/>
    <w:tmpl w:val="3C62ED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3DD14DC"/>
    <w:multiLevelType w:val="hybridMultilevel"/>
    <w:tmpl w:val="19A075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855F53"/>
    <w:multiLevelType w:val="hybridMultilevel"/>
    <w:tmpl w:val="6EA409F8"/>
    <w:lvl w:ilvl="0" w:tplc="F1224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A1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841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0F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61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A0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146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01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63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2309E6"/>
    <w:multiLevelType w:val="hybridMultilevel"/>
    <w:tmpl w:val="955ED006"/>
    <w:lvl w:ilvl="0" w:tplc="6F0A43DA"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0126E4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8">
    <w:nsid w:val="62DB44B6"/>
    <w:multiLevelType w:val="hybridMultilevel"/>
    <w:tmpl w:val="7A601F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0D15F8"/>
    <w:multiLevelType w:val="hybridMultilevel"/>
    <w:tmpl w:val="A0985482"/>
    <w:lvl w:ilvl="0" w:tplc="981ABEA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AC54B7E"/>
    <w:multiLevelType w:val="hybridMultilevel"/>
    <w:tmpl w:val="C394AB3A"/>
    <w:lvl w:ilvl="0" w:tplc="83BC2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8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C2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02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0E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A4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3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43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B06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2DD4EE7"/>
    <w:multiLevelType w:val="multilevel"/>
    <w:tmpl w:val="8558E9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59A6BB6"/>
    <w:multiLevelType w:val="hybridMultilevel"/>
    <w:tmpl w:val="C1EACE66"/>
    <w:lvl w:ilvl="0" w:tplc="14CE74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4"/>
  </w:num>
  <w:num w:numId="3">
    <w:abstractNumId w:val="26"/>
  </w:num>
  <w:num w:numId="4">
    <w:abstractNumId w:val="24"/>
  </w:num>
  <w:num w:numId="5">
    <w:abstractNumId w:val="18"/>
  </w:num>
  <w:num w:numId="6">
    <w:abstractNumId w:val="32"/>
  </w:num>
  <w:num w:numId="7">
    <w:abstractNumId w:val="29"/>
  </w:num>
  <w:num w:numId="8">
    <w:abstractNumId w:val="9"/>
  </w:num>
  <w:num w:numId="9">
    <w:abstractNumId w:val="31"/>
  </w:num>
  <w:num w:numId="10">
    <w:abstractNumId w:val="28"/>
  </w:num>
  <w:num w:numId="11">
    <w:abstractNumId w:val="5"/>
  </w:num>
  <w:num w:numId="12">
    <w:abstractNumId w:val="16"/>
  </w:num>
  <w:num w:numId="13">
    <w:abstractNumId w:val="10"/>
  </w:num>
  <w:num w:numId="14">
    <w:abstractNumId w:val="27"/>
  </w:num>
  <w:num w:numId="15">
    <w:abstractNumId w:val="6"/>
  </w:num>
  <w:num w:numId="16">
    <w:abstractNumId w:val="14"/>
  </w:num>
  <w:num w:numId="17">
    <w:abstractNumId w:val="15"/>
  </w:num>
  <w:num w:numId="18">
    <w:abstractNumId w:val="11"/>
  </w:num>
  <w:num w:numId="19">
    <w:abstractNumId w:val="2"/>
  </w:num>
  <w:num w:numId="20">
    <w:abstractNumId w:val="22"/>
  </w:num>
  <w:num w:numId="21">
    <w:abstractNumId w:val="3"/>
  </w:num>
  <w:num w:numId="22">
    <w:abstractNumId w:val="25"/>
  </w:num>
  <w:num w:numId="23">
    <w:abstractNumId w:val="12"/>
  </w:num>
  <w:num w:numId="24">
    <w:abstractNumId w:val="30"/>
  </w:num>
  <w:num w:numId="25">
    <w:abstractNumId w:val="19"/>
  </w:num>
  <w:num w:numId="26">
    <w:abstractNumId w:val="21"/>
  </w:num>
  <w:num w:numId="27">
    <w:abstractNumId w:val="17"/>
  </w:num>
  <w:num w:numId="28">
    <w:abstractNumId w:val="13"/>
  </w:num>
  <w:num w:numId="29">
    <w:abstractNumId w:val="7"/>
  </w:num>
  <w:num w:numId="30">
    <w:abstractNumId w:val="0"/>
  </w:num>
  <w:num w:numId="31">
    <w:abstractNumId w:val="1"/>
  </w:num>
  <w:num w:numId="32">
    <w:abstractNumId w:val="23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11F38"/>
    <w:rsid w:val="00012ABA"/>
    <w:rsid w:val="00014E28"/>
    <w:rsid w:val="000216C3"/>
    <w:rsid w:val="000244D2"/>
    <w:rsid w:val="0002737E"/>
    <w:rsid w:val="00030094"/>
    <w:rsid w:val="00032304"/>
    <w:rsid w:val="00033A33"/>
    <w:rsid w:val="00034071"/>
    <w:rsid w:val="00040981"/>
    <w:rsid w:val="00046ABA"/>
    <w:rsid w:val="000528C4"/>
    <w:rsid w:val="00052E93"/>
    <w:rsid w:val="0005379D"/>
    <w:rsid w:val="00053AC1"/>
    <w:rsid w:val="00055EEE"/>
    <w:rsid w:val="00056B3E"/>
    <w:rsid w:val="00075911"/>
    <w:rsid w:val="000810AE"/>
    <w:rsid w:val="00087AD7"/>
    <w:rsid w:val="00090151"/>
    <w:rsid w:val="000905B4"/>
    <w:rsid w:val="00091B05"/>
    <w:rsid w:val="000B47F6"/>
    <w:rsid w:val="000C1E67"/>
    <w:rsid w:val="000C28D7"/>
    <w:rsid w:val="000C391E"/>
    <w:rsid w:val="000C487B"/>
    <w:rsid w:val="000E4E0A"/>
    <w:rsid w:val="001076F5"/>
    <w:rsid w:val="001121A5"/>
    <w:rsid w:val="001121BD"/>
    <w:rsid w:val="00112D71"/>
    <w:rsid w:val="00114E8A"/>
    <w:rsid w:val="00126B18"/>
    <w:rsid w:val="001415F2"/>
    <w:rsid w:val="001479BF"/>
    <w:rsid w:val="00154667"/>
    <w:rsid w:val="00165687"/>
    <w:rsid w:val="00165731"/>
    <w:rsid w:val="001664D5"/>
    <w:rsid w:val="00174AB2"/>
    <w:rsid w:val="0018068E"/>
    <w:rsid w:val="00180758"/>
    <w:rsid w:val="001A273F"/>
    <w:rsid w:val="001A492F"/>
    <w:rsid w:val="001C4703"/>
    <w:rsid w:val="001C4B7C"/>
    <w:rsid w:val="001C6AEF"/>
    <w:rsid w:val="001E0353"/>
    <w:rsid w:val="001E2323"/>
    <w:rsid w:val="001E5B73"/>
    <w:rsid w:val="001E5CA0"/>
    <w:rsid w:val="00205E26"/>
    <w:rsid w:val="0022206D"/>
    <w:rsid w:val="0022639D"/>
    <w:rsid w:val="00232276"/>
    <w:rsid w:val="0023406E"/>
    <w:rsid w:val="00244FCA"/>
    <w:rsid w:val="00247758"/>
    <w:rsid w:val="00256393"/>
    <w:rsid w:val="00274C04"/>
    <w:rsid w:val="00281C11"/>
    <w:rsid w:val="002822A7"/>
    <w:rsid w:val="002B2053"/>
    <w:rsid w:val="002B49C4"/>
    <w:rsid w:val="002B71A5"/>
    <w:rsid w:val="002C2A1C"/>
    <w:rsid w:val="002C43AE"/>
    <w:rsid w:val="002C59DB"/>
    <w:rsid w:val="002D0879"/>
    <w:rsid w:val="0030770F"/>
    <w:rsid w:val="003120E7"/>
    <w:rsid w:val="003164E5"/>
    <w:rsid w:val="00324699"/>
    <w:rsid w:val="00332BEF"/>
    <w:rsid w:val="003425F3"/>
    <w:rsid w:val="0035254F"/>
    <w:rsid w:val="003608F3"/>
    <w:rsid w:val="00370853"/>
    <w:rsid w:val="00376C2C"/>
    <w:rsid w:val="003A4512"/>
    <w:rsid w:val="003B15DE"/>
    <w:rsid w:val="003D1893"/>
    <w:rsid w:val="003D554A"/>
    <w:rsid w:val="003D6C29"/>
    <w:rsid w:val="003E6E58"/>
    <w:rsid w:val="003E76C5"/>
    <w:rsid w:val="003F14DA"/>
    <w:rsid w:val="003F2BF9"/>
    <w:rsid w:val="003F3083"/>
    <w:rsid w:val="003F7CF3"/>
    <w:rsid w:val="00405675"/>
    <w:rsid w:val="004168E6"/>
    <w:rsid w:val="0042320C"/>
    <w:rsid w:val="004318A1"/>
    <w:rsid w:val="0043244E"/>
    <w:rsid w:val="004345C9"/>
    <w:rsid w:val="0043716A"/>
    <w:rsid w:val="004421D6"/>
    <w:rsid w:val="0044239D"/>
    <w:rsid w:val="00442519"/>
    <w:rsid w:val="004430F5"/>
    <w:rsid w:val="0044681B"/>
    <w:rsid w:val="00457473"/>
    <w:rsid w:val="0046572E"/>
    <w:rsid w:val="00465D65"/>
    <w:rsid w:val="00476BAE"/>
    <w:rsid w:val="00485E5C"/>
    <w:rsid w:val="00497B0B"/>
    <w:rsid w:val="004A0EE5"/>
    <w:rsid w:val="004A3B41"/>
    <w:rsid w:val="004A562D"/>
    <w:rsid w:val="004B17BD"/>
    <w:rsid w:val="004B6816"/>
    <w:rsid w:val="004D7FB7"/>
    <w:rsid w:val="004E584D"/>
    <w:rsid w:val="00502B9D"/>
    <w:rsid w:val="00510029"/>
    <w:rsid w:val="005130FF"/>
    <w:rsid w:val="0051427C"/>
    <w:rsid w:val="00514892"/>
    <w:rsid w:val="0051777A"/>
    <w:rsid w:val="00520C21"/>
    <w:rsid w:val="00523AB4"/>
    <w:rsid w:val="00540FED"/>
    <w:rsid w:val="005466D6"/>
    <w:rsid w:val="00547F2C"/>
    <w:rsid w:val="00553D75"/>
    <w:rsid w:val="0055488C"/>
    <w:rsid w:val="005552EF"/>
    <w:rsid w:val="005576EB"/>
    <w:rsid w:val="00562FE1"/>
    <w:rsid w:val="005670A9"/>
    <w:rsid w:val="00576BCF"/>
    <w:rsid w:val="005772BC"/>
    <w:rsid w:val="0057791A"/>
    <w:rsid w:val="005928C9"/>
    <w:rsid w:val="00593F17"/>
    <w:rsid w:val="005A40AE"/>
    <w:rsid w:val="005C6072"/>
    <w:rsid w:val="005E1759"/>
    <w:rsid w:val="005E2D5B"/>
    <w:rsid w:val="0060785E"/>
    <w:rsid w:val="006166C4"/>
    <w:rsid w:val="0062215D"/>
    <w:rsid w:val="006251D2"/>
    <w:rsid w:val="00633393"/>
    <w:rsid w:val="00641885"/>
    <w:rsid w:val="00644B78"/>
    <w:rsid w:val="0065402A"/>
    <w:rsid w:val="00656184"/>
    <w:rsid w:val="00661C65"/>
    <w:rsid w:val="00690ACF"/>
    <w:rsid w:val="00691582"/>
    <w:rsid w:val="00695594"/>
    <w:rsid w:val="00697C4B"/>
    <w:rsid w:val="006A381C"/>
    <w:rsid w:val="006A4449"/>
    <w:rsid w:val="006A61DB"/>
    <w:rsid w:val="006B1BCD"/>
    <w:rsid w:val="006B38AE"/>
    <w:rsid w:val="006C00AB"/>
    <w:rsid w:val="006C1D2E"/>
    <w:rsid w:val="006C4E6D"/>
    <w:rsid w:val="006D41B7"/>
    <w:rsid w:val="006E2036"/>
    <w:rsid w:val="006F4573"/>
    <w:rsid w:val="006F4A64"/>
    <w:rsid w:val="006F4C64"/>
    <w:rsid w:val="006F51AD"/>
    <w:rsid w:val="0070340C"/>
    <w:rsid w:val="007201D7"/>
    <w:rsid w:val="0072506F"/>
    <w:rsid w:val="007300EF"/>
    <w:rsid w:val="00730351"/>
    <w:rsid w:val="00730EAC"/>
    <w:rsid w:val="0073355F"/>
    <w:rsid w:val="00747F2E"/>
    <w:rsid w:val="0075369C"/>
    <w:rsid w:val="00763281"/>
    <w:rsid w:val="0076466F"/>
    <w:rsid w:val="00764A6D"/>
    <w:rsid w:val="00767305"/>
    <w:rsid w:val="0077575A"/>
    <w:rsid w:val="00776373"/>
    <w:rsid w:val="00785B42"/>
    <w:rsid w:val="00791273"/>
    <w:rsid w:val="007923A5"/>
    <w:rsid w:val="007A3365"/>
    <w:rsid w:val="007B5A2D"/>
    <w:rsid w:val="007C18C7"/>
    <w:rsid w:val="007C5334"/>
    <w:rsid w:val="007C748E"/>
    <w:rsid w:val="007D4394"/>
    <w:rsid w:val="007F00FE"/>
    <w:rsid w:val="007F1AC2"/>
    <w:rsid w:val="00800628"/>
    <w:rsid w:val="00807545"/>
    <w:rsid w:val="00810539"/>
    <w:rsid w:val="00811CE4"/>
    <w:rsid w:val="00812BD5"/>
    <w:rsid w:val="00821C25"/>
    <w:rsid w:val="00823F1F"/>
    <w:rsid w:val="00825C53"/>
    <w:rsid w:val="00831B8D"/>
    <w:rsid w:val="00834CE5"/>
    <w:rsid w:val="0084696D"/>
    <w:rsid w:val="00853224"/>
    <w:rsid w:val="008575D7"/>
    <w:rsid w:val="00864D70"/>
    <w:rsid w:val="0086563A"/>
    <w:rsid w:val="00866714"/>
    <w:rsid w:val="00871475"/>
    <w:rsid w:val="00873AC8"/>
    <w:rsid w:val="00884892"/>
    <w:rsid w:val="00897294"/>
    <w:rsid w:val="008A2219"/>
    <w:rsid w:val="008A3B18"/>
    <w:rsid w:val="008A534E"/>
    <w:rsid w:val="008A5A69"/>
    <w:rsid w:val="008B1596"/>
    <w:rsid w:val="008B69F1"/>
    <w:rsid w:val="008C4654"/>
    <w:rsid w:val="008D10B3"/>
    <w:rsid w:val="008D5D7C"/>
    <w:rsid w:val="008E0396"/>
    <w:rsid w:val="008E0669"/>
    <w:rsid w:val="008E0670"/>
    <w:rsid w:val="008E2FF6"/>
    <w:rsid w:val="008F2B74"/>
    <w:rsid w:val="008F2CB9"/>
    <w:rsid w:val="009077F9"/>
    <w:rsid w:val="009155D2"/>
    <w:rsid w:val="00921017"/>
    <w:rsid w:val="0095231D"/>
    <w:rsid w:val="009702A1"/>
    <w:rsid w:val="00977B6E"/>
    <w:rsid w:val="00977FD1"/>
    <w:rsid w:val="0098008C"/>
    <w:rsid w:val="009902C4"/>
    <w:rsid w:val="00992CB6"/>
    <w:rsid w:val="00992F02"/>
    <w:rsid w:val="009A1D16"/>
    <w:rsid w:val="009A2998"/>
    <w:rsid w:val="009B2B45"/>
    <w:rsid w:val="009C3AAA"/>
    <w:rsid w:val="009C4D8B"/>
    <w:rsid w:val="009C4E1F"/>
    <w:rsid w:val="009E1800"/>
    <w:rsid w:val="00A052AB"/>
    <w:rsid w:val="00A107B7"/>
    <w:rsid w:val="00A1252F"/>
    <w:rsid w:val="00A13753"/>
    <w:rsid w:val="00A23F87"/>
    <w:rsid w:val="00A32014"/>
    <w:rsid w:val="00A35020"/>
    <w:rsid w:val="00A403EC"/>
    <w:rsid w:val="00A43B47"/>
    <w:rsid w:val="00A50964"/>
    <w:rsid w:val="00A6007C"/>
    <w:rsid w:val="00A6275E"/>
    <w:rsid w:val="00A725B1"/>
    <w:rsid w:val="00A72DCA"/>
    <w:rsid w:val="00A86EBF"/>
    <w:rsid w:val="00A96216"/>
    <w:rsid w:val="00AA33BF"/>
    <w:rsid w:val="00AB2580"/>
    <w:rsid w:val="00AB392A"/>
    <w:rsid w:val="00AB3DB1"/>
    <w:rsid w:val="00AC289E"/>
    <w:rsid w:val="00AC3C2B"/>
    <w:rsid w:val="00AC56D2"/>
    <w:rsid w:val="00AD3294"/>
    <w:rsid w:val="00AD434E"/>
    <w:rsid w:val="00AE2F57"/>
    <w:rsid w:val="00AE6E21"/>
    <w:rsid w:val="00AE6FC5"/>
    <w:rsid w:val="00AF68B2"/>
    <w:rsid w:val="00B0231B"/>
    <w:rsid w:val="00B02962"/>
    <w:rsid w:val="00B0372C"/>
    <w:rsid w:val="00B12F08"/>
    <w:rsid w:val="00B15BBA"/>
    <w:rsid w:val="00B17FF4"/>
    <w:rsid w:val="00B23F22"/>
    <w:rsid w:val="00B316A5"/>
    <w:rsid w:val="00B31D4C"/>
    <w:rsid w:val="00B3534A"/>
    <w:rsid w:val="00B36D93"/>
    <w:rsid w:val="00B416FC"/>
    <w:rsid w:val="00B420F4"/>
    <w:rsid w:val="00B46407"/>
    <w:rsid w:val="00B5260F"/>
    <w:rsid w:val="00B55B19"/>
    <w:rsid w:val="00B61A5E"/>
    <w:rsid w:val="00B64F57"/>
    <w:rsid w:val="00B72DE8"/>
    <w:rsid w:val="00B76D8D"/>
    <w:rsid w:val="00B825D4"/>
    <w:rsid w:val="00B94E42"/>
    <w:rsid w:val="00B97B80"/>
    <w:rsid w:val="00BA1FD7"/>
    <w:rsid w:val="00BA7010"/>
    <w:rsid w:val="00BB00A5"/>
    <w:rsid w:val="00BB1F6A"/>
    <w:rsid w:val="00BB24BA"/>
    <w:rsid w:val="00BB353F"/>
    <w:rsid w:val="00BC449B"/>
    <w:rsid w:val="00BD7CB0"/>
    <w:rsid w:val="00BE0495"/>
    <w:rsid w:val="00BE06B5"/>
    <w:rsid w:val="00BF0F97"/>
    <w:rsid w:val="00BF3758"/>
    <w:rsid w:val="00C13D3A"/>
    <w:rsid w:val="00C161E3"/>
    <w:rsid w:val="00C162F3"/>
    <w:rsid w:val="00C21A77"/>
    <w:rsid w:val="00C22708"/>
    <w:rsid w:val="00C2314B"/>
    <w:rsid w:val="00C251ED"/>
    <w:rsid w:val="00C3393F"/>
    <w:rsid w:val="00C33E23"/>
    <w:rsid w:val="00C3576A"/>
    <w:rsid w:val="00C40172"/>
    <w:rsid w:val="00C4151E"/>
    <w:rsid w:val="00C4782C"/>
    <w:rsid w:val="00C523F9"/>
    <w:rsid w:val="00C6034B"/>
    <w:rsid w:val="00C63F05"/>
    <w:rsid w:val="00C70AF5"/>
    <w:rsid w:val="00C82CB0"/>
    <w:rsid w:val="00C858D8"/>
    <w:rsid w:val="00C90577"/>
    <w:rsid w:val="00C91C28"/>
    <w:rsid w:val="00C93910"/>
    <w:rsid w:val="00CA015A"/>
    <w:rsid w:val="00CA08D5"/>
    <w:rsid w:val="00CA3319"/>
    <w:rsid w:val="00CB1C79"/>
    <w:rsid w:val="00CB3CD5"/>
    <w:rsid w:val="00CB73BA"/>
    <w:rsid w:val="00CC543F"/>
    <w:rsid w:val="00CE0DD1"/>
    <w:rsid w:val="00CF2035"/>
    <w:rsid w:val="00D00033"/>
    <w:rsid w:val="00D027CF"/>
    <w:rsid w:val="00D0325B"/>
    <w:rsid w:val="00D05556"/>
    <w:rsid w:val="00D140A9"/>
    <w:rsid w:val="00D31EFB"/>
    <w:rsid w:val="00D376BD"/>
    <w:rsid w:val="00D44C8C"/>
    <w:rsid w:val="00D46A9E"/>
    <w:rsid w:val="00D50503"/>
    <w:rsid w:val="00D52DEC"/>
    <w:rsid w:val="00D619DE"/>
    <w:rsid w:val="00D71826"/>
    <w:rsid w:val="00D736F6"/>
    <w:rsid w:val="00D76E38"/>
    <w:rsid w:val="00D8120F"/>
    <w:rsid w:val="00D84B70"/>
    <w:rsid w:val="00D901BB"/>
    <w:rsid w:val="00DA7D88"/>
    <w:rsid w:val="00DB0228"/>
    <w:rsid w:val="00DB097F"/>
    <w:rsid w:val="00DB30F3"/>
    <w:rsid w:val="00DB3ADC"/>
    <w:rsid w:val="00DC6262"/>
    <w:rsid w:val="00E03BA6"/>
    <w:rsid w:val="00E04094"/>
    <w:rsid w:val="00E05952"/>
    <w:rsid w:val="00E130F3"/>
    <w:rsid w:val="00E14EE4"/>
    <w:rsid w:val="00E14F0D"/>
    <w:rsid w:val="00E1576E"/>
    <w:rsid w:val="00E22EE3"/>
    <w:rsid w:val="00E235B7"/>
    <w:rsid w:val="00E26AB0"/>
    <w:rsid w:val="00E35524"/>
    <w:rsid w:val="00E517DF"/>
    <w:rsid w:val="00E5698A"/>
    <w:rsid w:val="00E657FB"/>
    <w:rsid w:val="00E70B66"/>
    <w:rsid w:val="00E73381"/>
    <w:rsid w:val="00E74E2E"/>
    <w:rsid w:val="00E754BD"/>
    <w:rsid w:val="00E96E88"/>
    <w:rsid w:val="00EA612C"/>
    <w:rsid w:val="00EB50ED"/>
    <w:rsid w:val="00EC3FA4"/>
    <w:rsid w:val="00ED4EA4"/>
    <w:rsid w:val="00ED5BD8"/>
    <w:rsid w:val="00EE0299"/>
    <w:rsid w:val="00EE5D38"/>
    <w:rsid w:val="00EF2FDE"/>
    <w:rsid w:val="00F13DC5"/>
    <w:rsid w:val="00F13E7D"/>
    <w:rsid w:val="00F14A08"/>
    <w:rsid w:val="00F21404"/>
    <w:rsid w:val="00F274DB"/>
    <w:rsid w:val="00F27BD8"/>
    <w:rsid w:val="00F37691"/>
    <w:rsid w:val="00F42B57"/>
    <w:rsid w:val="00F51566"/>
    <w:rsid w:val="00F51861"/>
    <w:rsid w:val="00F615CC"/>
    <w:rsid w:val="00F6281D"/>
    <w:rsid w:val="00F63177"/>
    <w:rsid w:val="00F64691"/>
    <w:rsid w:val="00F65607"/>
    <w:rsid w:val="00F66D38"/>
    <w:rsid w:val="00F67E78"/>
    <w:rsid w:val="00F70B85"/>
    <w:rsid w:val="00F73584"/>
    <w:rsid w:val="00F84296"/>
    <w:rsid w:val="00F85D62"/>
    <w:rsid w:val="00F91872"/>
    <w:rsid w:val="00F95D92"/>
    <w:rsid w:val="00F969EA"/>
    <w:rsid w:val="00FA046B"/>
    <w:rsid w:val="00FA13EE"/>
    <w:rsid w:val="00FB3AD1"/>
    <w:rsid w:val="00FC1B9E"/>
    <w:rsid w:val="00FC335B"/>
    <w:rsid w:val="00FD268D"/>
    <w:rsid w:val="00FD3747"/>
    <w:rsid w:val="00FD44DD"/>
    <w:rsid w:val="00FD5C34"/>
    <w:rsid w:val="00FE45E0"/>
    <w:rsid w:val="00FE6B14"/>
    <w:rsid w:val="00FF34FE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AFE0FB-65DB-413A-BCB6-D1464A96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9C4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qFormat/>
    <w:rsid w:val="00C63F0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0C487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1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9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9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uiPriority w:val="59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uiPriority w:val="35"/>
    <w:qFormat/>
    <w:rsid w:val="00D0325B"/>
    <w:rPr>
      <w:b/>
      <w:bCs/>
      <w:sz w:val="2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E26A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26AB0"/>
    <w:rPr>
      <w:rFonts w:ascii="Segoe UI" w:hAnsi="Segoe UI" w:cs="Segoe UI"/>
      <w:kern w:val="2"/>
      <w:sz w:val="18"/>
      <w:szCs w:val="18"/>
      <w:lang w:val="en-US" w:eastAsia="zh-CN"/>
    </w:rPr>
  </w:style>
  <w:style w:type="table" w:styleId="GridTable1Light-Accent1">
    <w:name w:val="Grid Table 1 Light Accent 1"/>
    <w:basedOn w:val="TableNormal"/>
    <w:uiPriority w:val="46"/>
    <w:rsid w:val="00FF6C8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rsid w:val="003E6E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6E58"/>
    <w:rPr>
      <w:sz w:val="20"/>
      <w:szCs w:val="20"/>
    </w:rPr>
  </w:style>
  <w:style w:type="character" w:customStyle="1" w:styleId="CommentTextChar">
    <w:name w:val="Comment Text Char"/>
    <w:link w:val="CommentText"/>
    <w:rsid w:val="003E6E58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E6E58"/>
    <w:rPr>
      <w:b/>
      <w:bCs/>
    </w:rPr>
  </w:style>
  <w:style w:type="character" w:customStyle="1" w:styleId="CommentSubjectChar">
    <w:name w:val="Comment Subject Char"/>
    <w:link w:val="CommentSubject"/>
    <w:rsid w:val="003E6E58"/>
    <w:rPr>
      <w:b/>
      <w:bCs/>
      <w:kern w:val="2"/>
      <w:lang w:eastAsia="zh-CN"/>
    </w:rPr>
  </w:style>
  <w:style w:type="paragraph" w:styleId="Revision">
    <w:name w:val="Revision"/>
    <w:hidden/>
    <w:uiPriority w:val="99"/>
    <w:semiHidden/>
    <w:rsid w:val="00F85D62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E05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6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5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6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04640-13E1-4651-96FA-01228AF0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</dc:creator>
  <cp:keywords/>
  <dc:description/>
  <cp:lastModifiedBy>Dhanda, Mungal</cp:lastModifiedBy>
  <cp:revision>2</cp:revision>
  <cp:lastPrinted>2008-10-09T19:58:00Z</cp:lastPrinted>
  <dcterms:created xsi:type="dcterms:W3CDTF">2015-01-27T22:16:00Z</dcterms:created>
  <dcterms:modified xsi:type="dcterms:W3CDTF">2015-01-27T22:16:00Z</dcterms:modified>
</cp:coreProperties>
</file>